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05" w:rsidRPr="0077342B" w:rsidRDefault="00DF0505" w:rsidP="00130B28">
      <w:pPr>
        <w:contextualSpacing/>
      </w:pPr>
      <w:r w:rsidRPr="00927CE3">
        <w:rPr>
          <w:b/>
          <w:bCs/>
          <w:color w:val="808080" w:themeColor="background1" w:themeShade="80"/>
        </w:rPr>
        <w:t>ARTICLE 19 — SALARY SCHEDULES</w:t>
      </w:r>
      <w:r w:rsidR="00F24459">
        <w:rPr>
          <w:b/>
          <w:bCs/>
        </w:rPr>
        <w:t xml:space="preserve">  </w:t>
      </w:r>
      <w:r w:rsidR="00F24459" w:rsidRPr="00927CE3">
        <w:rPr>
          <w:b/>
          <w:bCs/>
          <w:color w:val="984806" w:themeColor="accent6" w:themeShade="80"/>
        </w:rPr>
        <w:t>TA 2/17/15</w:t>
      </w:r>
    </w:p>
    <w:p w:rsidR="00DF0505" w:rsidRPr="0077342B" w:rsidRDefault="00DF0505" w:rsidP="00130B28">
      <w:pPr>
        <w:contextualSpacing/>
      </w:pPr>
    </w:p>
    <w:p w:rsidR="00DF0505" w:rsidRPr="00927CE3" w:rsidRDefault="00DF0505" w:rsidP="00130B28">
      <w:pPr>
        <w:contextualSpacing/>
        <w:rPr>
          <w:color w:val="808080" w:themeColor="background1" w:themeShade="80"/>
        </w:rPr>
      </w:pPr>
      <w:proofErr w:type="gramStart"/>
      <w:r w:rsidRPr="00927CE3">
        <w:rPr>
          <w:b/>
          <w:bCs/>
          <w:color w:val="808080" w:themeColor="background1" w:themeShade="80"/>
        </w:rPr>
        <w:t>Section 1.</w:t>
      </w:r>
      <w:proofErr w:type="gramEnd"/>
      <w:r w:rsidRPr="00927CE3">
        <w:rPr>
          <w:b/>
          <w:bCs/>
          <w:color w:val="808080" w:themeColor="background1" w:themeShade="80"/>
        </w:rPr>
        <w:t xml:space="preserve"> </w:t>
      </w:r>
      <w:r w:rsidRPr="00927CE3">
        <w:rPr>
          <w:b/>
          <w:bCs/>
          <w:color w:val="808080" w:themeColor="background1" w:themeShade="80"/>
        </w:rPr>
        <w:tab/>
        <w:t xml:space="preserve">Annually Contracted Salary Schedule (175 days) — Annual Rate </w:t>
      </w:r>
    </w:p>
    <w:p w:rsidR="00DF0505" w:rsidRPr="00927CE3" w:rsidRDefault="00DF0505" w:rsidP="00130B28">
      <w:pPr>
        <w:contextualSpacing/>
        <w:rPr>
          <w:color w:val="808080" w:themeColor="background1" w:themeShade="80"/>
        </w:rPr>
      </w:pPr>
    </w:p>
    <w:tbl>
      <w:tblPr>
        <w:tblStyle w:val="TableGrid"/>
        <w:tblW w:w="0" w:type="auto"/>
        <w:tblInd w:w="1488" w:type="dxa"/>
        <w:tblLook w:val="00A0" w:firstRow="1" w:lastRow="0" w:firstColumn="1" w:lastColumn="0" w:noHBand="0" w:noVBand="0"/>
      </w:tblPr>
      <w:tblGrid>
        <w:gridCol w:w="1080"/>
        <w:gridCol w:w="2340"/>
        <w:gridCol w:w="1080"/>
        <w:gridCol w:w="2430"/>
      </w:tblGrid>
      <w:tr w:rsidR="00927CE3" w:rsidRPr="00927CE3">
        <w:trPr>
          <w:trHeight w:val="415"/>
        </w:trPr>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Step</w:t>
            </w:r>
          </w:p>
        </w:tc>
        <w:tc>
          <w:tcPr>
            <w:tcW w:w="234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Fall ‘12 Annual Salary</w:t>
            </w:r>
          </w:p>
        </w:tc>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Step</w:t>
            </w:r>
          </w:p>
        </w:tc>
        <w:tc>
          <w:tcPr>
            <w:tcW w:w="243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Fall ‘12 Annual Salary</w:t>
            </w:r>
          </w:p>
        </w:tc>
      </w:tr>
      <w:tr w:rsidR="00927CE3" w:rsidRPr="00927CE3">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1</w:t>
            </w:r>
          </w:p>
        </w:tc>
        <w:tc>
          <w:tcPr>
            <w:tcW w:w="234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$44,730</w:t>
            </w:r>
          </w:p>
        </w:tc>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9</w:t>
            </w:r>
          </w:p>
        </w:tc>
        <w:tc>
          <w:tcPr>
            <w:tcW w:w="243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$57,419</w:t>
            </w:r>
          </w:p>
        </w:tc>
      </w:tr>
      <w:tr w:rsidR="00927CE3" w:rsidRPr="00927CE3">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2</w:t>
            </w:r>
          </w:p>
        </w:tc>
        <w:tc>
          <w:tcPr>
            <w:tcW w:w="234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$46,067</w:t>
            </w:r>
          </w:p>
        </w:tc>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10</w:t>
            </w:r>
          </w:p>
        </w:tc>
        <w:tc>
          <w:tcPr>
            <w:tcW w:w="243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$59,421</w:t>
            </w:r>
          </w:p>
        </w:tc>
      </w:tr>
      <w:tr w:rsidR="00927CE3" w:rsidRPr="00927CE3">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3</w:t>
            </w:r>
          </w:p>
        </w:tc>
        <w:tc>
          <w:tcPr>
            <w:tcW w:w="234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$47,403</w:t>
            </w:r>
          </w:p>
        </w:tc>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11</w:t>
            </w:r>
          </w:p>
        </w:tc>
        <w:tc>
          <w:tcPr>
            <w:tcW w:w="243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$61,424</w:t>
            </w:r>
          </w:p>
        </w:tc>
      </w:tr>
      <w:tr w:rsidR="00927CE3" w:rsidRPr="00927CE3">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4</w:t>
            </w:r>
          </w:p>
        </w:tc>
        <w:tc>
          <w:tcPr>
            <w:tcW w:w="234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$48,739</w:t>
            </w:r>
          </w:p>
        </w:tc>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12</w:t>
            </w:r>
          </w:p>
        </w:tc>
        <w:tc>
          <w:tcPr>
            <w:tcW w:w="243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$63,426</w:t>
            </w:r>
          </w:p>
        </w:tc>
      </w:tr>
      <w:tr w:rsidR="00927CE3" w:rsidRPr="00927CE3">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5</w:t>
            </w:r>
          </w:p>
        </w:tc>
        <w:tc>
          <w:tcPr>
            <w:tcW w:w="234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$50,075</w:t>
            </w:r>
          </w:p>
        </w:tc>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13</w:t>
            </w:r>
          </w:p>
        </w:tc>
        <w:tc>
          <w:tcPr>
            <w:tcW w:w="243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$65,429</w:t>
            </w:r>
          </w:p>
        </w:tc>
      </w:tr>
      <w:tr w:rsidR="00927CE3" w:rsidRPr="00927CE3">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6</w:t>
            </w:r>
          </w:p>
        </w:tc>
        <w:tc>
          <w:tcPr>
            <w:tcW w:w="234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$51,412</w:t>
            </w:r>
          </w:p>
        </w:tc>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14</w:t>
            </w:r>
          </w:p>
        </w:tc>
        <w:tc>
          <w:tcPr>
            <w:tcW w:w="243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$67,431</w:t>
            </w:r>
          </w:p>
        </w:tc>
      </w:tr>
      <w:tr w:rsidR="00927CE3" w:rsidRPr="00927CE3">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7</w:t>
            </w:r>
          </w:p>
        </w:tc>
        <w:tc>
          <w:tcPr>
            <w:tcW w:w="234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$53,414</w:t>
            </w:r>
          </w:p>
        </w:tc>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15</w:t>
            </w:r>
          </w:p>
        </w:tc>
        <w:tc>
          <w:tcPr>
            <w:tcW w:w="243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$69,433</w:t>
            </w:r>
          </w:p>
        </w:tc>
      </w:tr>
      <w:tr w:rsidR="00DF0505" w:rsidRPr="00927CE3">
        <w:tc>
          <w:tcPr>
            <w:tcW w:w="108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8</w:t>
            </w:r>
          </w:p>
        </w:tc>
        <w:tc>
          <w:tcPr>
            <w:tcW w:w="2340" w:type="dxa"/>
            <w:vAlign w:val="center"/>
          </w:tcPr>
          <w:p w:rsidR="00DF0505" w:rsidRPr="00927CE3" w:rsidRDefault="00DF0505" w:rsidP="00130B28">
            <w:pPr>
              <w:contextualSpacing/>
              <w:jc w:val="center"/>
              <w:rPr>
                <w:b/>
                <w:bCs/>
                <w:color w:val="808080" w:themeColor="background1" w:themeShade="80"/>
              </w:rPr>
            </w:pPr>
            <w:r w:rsidRPr="00927CE3">
              <w:rPr>
                <w:b/>
                <w:bCs/>
                <w:color w:val="808080" w:themeColor="background1" w:themeShade="80"/>
              </w:rPr>
              <w:t>$55,417</w:t>
            </w:r>
          </w:p>
        </w:tc>
        <w:tc>
          <w:tcPr>
            <w:tcW w:w="3510" w:type="dxa"/>
            <w:gridSpan w:val="2"/>
            <w:tcBorders>
              <w:bottom w:val="nil"/>
              <w:right w:val="nil"/>
            </w:tcBorders>
            <w:vAlign w:val="center"/>
          </w:tcPr>
          <w:p w:rsidR="00DF0505" w:rsidRPr="00927CE3" w:rsidRDefault="00DF0505" w:rsidP="00130B28">
            <w:pPr>
              <w:contextualSpacing/>
              <w:jc w:val="center"/>
              <w:rPr>
                <w:b/>
                <w:bCs/>
                <w:color w:val="808080" w:themeColor="background1" w:themeShade="80"/>
              </w:rPr>
            </w:pPr>
          </w:p>
        </w:tc>
      </w:tr>
    </w:tbl>
    <w:p w:rsidR="00DF0505" w:rsidRPr="00927CE3" w:rsidRDefault="00DF0505" w:rsidP="00130B28">
      <w:pPr>
        <w:contextualSpacing/>
        <w:rPr>
          <w:b/>
          <w:bCs/>
          <w:color w:val="808080" w:themeColor="background1" w:themeShade="80"/>
        </w:rPr>
      </w:pPr>
    </w:p>
    <w:p w:rsidR="00DF0505" w:rsidRPr="00927CE3" w:rsidRDefault="00DF0505" w:rsidP="00130B28">
      <w:pPr>
        <w:contextualSpacing/>
        <w:rPr>
          <w:color w:val="808080" w:themeColor="background1" w:themeShade="80"/>
        </w:rPr>
      </w:pPr>
      <w:r w:rsidRPr="00927CE3">
        <w:rPr>
          <w:b/>
          <w:bCs/>
          <w:color w:val="808080" w:themeColor="background1" w:themeShade="80"/>
        </w:rPr>
        <w:t>NOTES TO ANNUALLY CONTRACTED SALARY SCHEDULE:</w:t>
      </w:r>
    </w:p>
    <w:p w:rsidR="00DF0505" w:rsidRPr="00927CE3" w:rsidRDefault="00DF0505" w:rsidP="00130B28">
      <w:pPr>
        <w:contextualSpacing/>
        <w:rPr>
          <w:color w:val="808080" w:themeColor="background1" w:themeShade="80"/>
        </w:rPr>
      </w:pPr>
      <w:r w:rsidRPr="00927CE3">
        <w:rPr>
          <w:b/>
          <w:bCs/>
          <w:color w:val="808080" w:themeColor="background1" w:themeShade="80"/>
        </w:rPr>
        <w:t xml:space="preserve">Advancement </w:t>
      </w:r>
    </w:p>
    <w:p w:rsidR="00DF0505" w:rsidRPr="00927CE3" w:rsidRDefault="00DF0505" w:rsidP="00130B28">
      <w:pPr>
        <w:ind w:left="1440" w:hanging="720"/>
        <w:contextualSpacing/>
        <w:rPr>
          <w:color w:val="808080" w:themeColor="background1" w:themeShade="80"/>
        </w:rPr>
      </w:pPr>
      <w:r w:rsidRPr="00927CE3">
        <w:rPr>
          <w:b/>
          <w:bCs/>
          <w:color w:val="808080" w:themeColor="background1" w:themeShade="80"/>
        </w:rPr>
        <w:t xml:space="preserve">1. </w:t>
      </w:r>
      <w:r w:rsidRPr="00927CE3">
        <w:rPr>
          <w:b/>
          <w:bCs/>
          <w:color w:val="808080" w:themeColor="background1" w:themeShade="80"/>
        </w:rPr>
        <w:tab/>
      </w:r>
      <w:r w:rsidRPr="00927CE3">
        <w:rPr>
          <w:color w:val="808080" w:themeColor="background1" w:themeShade="80"/>
        </w:rPr>
        <w:t xml:space="preserve">Fall 1997 increments are granted prior to any other movement according to Article 19 (Salary Schedules) and Article 20 (Salary Schedule Placement and Movement) of the current Master Contract as amended. </w:t>
      </w:r>
    </w:p>
    <w:p w:rsidR="00DF0505" w:rsidRPr="0077342B" w:rsidRDefault="00DF0505" w:rsidP="00130B28">
      <w:pPr>
        <w:ind w:left="1440" w:hanging="720"/>
        <w:contextualSpacing/>
      </w:pPr>
      <w:r w:rsidRPr="0077342B">
        <w:rPr>
          <w:b/>
          <w:bCs/>
        </w:rPr>
        <w:t xml:space="preserve">2. </w:t>
      </w:r>
      <w:r w:rsidRPr="0077342B">
        <w:rPr>
          <w:b/>
          <w:bCs/>
        </w:rPr>
        <w:tab/>
      </w:r>
      <w:r w:rsidRPr="0077342B">
        <w:rPr>
          <w:bCs/>
          <w:strike/>
        </w:rPr>
        <w:t>Faculty</w:t>
      </w:r>
      <w:r w:rsidRPr="0077342B">
        <w:rPr>
          <w:b/>
          <w:bCs/>
        </w:rPr>
        <w:t xml:space="preserve"> </w:t>
      </w:r>
      <w:r w:rsidRPr="00927CE3">
        <w:rPr>
          <w:color w:val="984806" w:themeColor="accent6" w:themeShade="80"/>
        </w:rPr>
        <w:t xml:space="preserve">Academic employees </w:t>
      </w:r>
      <w:r w:rsidRPr="0077342B">
        <w:t xml:space="preserve">starting prior to </w:t>
      </w:r>
      <w:proofErr w:type="gramStart"/>
      <w:r w:rsidRPr="0077342B">
        <w:t>Fall</w:t>
      </w:r>
      <w:proofErr w:type="gramEnd"/>
      <w:r w:rsidRPr="0077342B">
        <w:t xml:space="preserve"> 1997 will advance from step 4 to step 7 with one (1) increment, thereby skipping steps 5 and 6. </w:t>
      </w:r>
    </w:p>
    <w:p w:rsidR="00DF0505" w:rsidRPr="00927CE3" w:rsidRDefault="00DF0505" w:rsidP="00130B28">
      <w:pPr>
        <w:ind w:left="1440" w:hanging="720"/>
        <w:contextualSpacing/>
        <w:rPr>
          <w:color w:val="808080" w:themeColor="background1" w:themeShade="80"/>
        </w:rPr>
      </w:pPr>
      <w:r w:rsidRPr="00927CE3">
        <w:rPr>
          <w:b/>
          <w:bCs/>
          <w:color w:val="808080" w:themeColor="background1" w:themeShade="80"/>
        </w:rPr>
        <w:t>3.</w:t>
      </w:r>
      <w:r w:rsidRPr="0077342B">
        <w:rPr>
          <w:b/>
          <w:bCs/>
        </w:rPr>
        <w:t xml:space="preserve"> </w:t>
      </w:r>
      <w:r w:rsidRPr="0077342B">
        <w:rPr>
          <w:b/>
          <w:bCs/>
        </w:rPr>
        <w:tab/>
      </w:r>
      <w:r w:rsidRPr="00927CE3">
        <w:rPr>
          <w:color w:val="808080" w:themeColor="background1" w:themeShade="80"/>
        </w:rPr>
        <w:t>All step advancements shall be consistent with Washington state law in accordance with Articles 22 (Savings), 23 (Scope) and 26 (Corrections) of this agreement.</w:t>
      </w:r>
    </w:p>
    <w:p w:rsidR="00DF0505" w:rsidRPr="0077342B" w:rsidRDefault="00DF0505" w:rsidP="00130B28">
      <w:pPr>
        <w:ind w:left="1440" w:hanging="720"/>
        <w:contextualSpacing/>
      </w:pPr>
    </w:p>
    <w:p w:rsidR="00DF0505" w:rsidRPr="0077342B" w:rsidRDefault="00DF0505" w:rsidP="00130B28">
      <w:pPr>
        <w:contextualSpacing/>
      </w:pPr>
      <w:proofErr w:type="gramStart"/>
      <w:r w:rsidRPr="0077342B">
        <w:rPr>
          <w:b/>
          <w:bCs/>
        </w:rPr>
        <w:t>Section 2.</w:t>
      </w:r>
      <w:proofErr w:type="gramEnd"/>
      <w:r w:rsidRPr="0077342B">
        <w:rPr>
          <w:b/>
          <w:bCs/>
        </w:rPr>
        <w:t xml:space="preserve"> </w:t>
      </w:r>
      <w:r w:rsidRPr="0077342B">
        <w:rPr>
          <w:b/>
          <w:bCs/>
        </w:rPr>
        <w:tab/>
        <w:t>Summer School Pay Rate</w:t>
      </w:r>
    </w:p>
    <w:p w:rsidR="00DF0505" w:rsidRPr="0077342B" w:rsidRDefault="00DF0505" w:rsidP="00130B28">
      <w:pPr>
        <w:ind w:left="720" w:hanging="720"/>
        <w:contextualSpacing/>
      </w:pPr>
      <w:r w:rsidRPr="0077342B">
        <w:rPr>
          <w:b/>
          <w:bCs/>
        </w:rPr>
        <w:t xml:space="preserve">a. </w:t>
      </w:r>
      <w:r w:rsidRPr="0077342B">
        <w:rPr>
          <w:b/>
          <w:bCs/>
        </w:rPr>
        <w:tab/>
      </w:r>
      <w:r w:rsidRPr="0077342B">
        <w:t xml:space="preserve">Annually contracted academic employees with state-supported assignments for the summer quarter will be paid at 25% of their current step, up to the maximum identified by the following schedule, for a full load. All work less than a full load will be paid at a pro-rata fraction of the full load on a normal quarterly basis. </w:t>
      </w:r>
    </w:p>
    <w:p w:rsidR="00DF0505" w:rsidRPr="00927CE3" w:rsidRDefault="00DF0505" w:rsidP="00130B28">
      <w:pPr>
        <w:ind w:firstLine="720"/>
        <w:contextualSpacing/>
        <w:rPr>
          <w:color w:val="984806" w:themeColor="accent6" w:themeShade="80"/>
        </w:rPr>
      </w:pPr>
      <w:r w:rsidRPr="0077342B">
        <w:t>• Summer</w:t>
      </w:r>
      <w:r w:rsidR="00927CE3">
        <w:t xml:space="preserve"> </w:t>
      </w:r>
      <w:r w:rsidR="00927CE3" w:rsidRPr="00927CE3">
        <w:rPr>
          <w:strike/>
        </w:rPr>
        <w:t>‘08</w:t>
      </w:r>
      <w:r w:rsidRPr="0077342B">
        <w:t xml:space="preserve"> </w:t>
      </w:r>
      <w:r w:rsidR="00927CE3" w:rsidRPr="00927CE3">
        <w:rPr>
          <w:color w:val="984806" w:themeColor="accent6" w:themeShade="80"/>
        </w:rPr>
        <w:t>’15</w:t>
      </w:r>
      <w:r w:rsidR="00927CE3">
        <w:t xml:space="preserve"> </w:t>
      </w:r>
      <w:r w:rsidRPr="0077342B">
        <w:t xml:space="preserve">and thereafter = 25% of current step, up to maximum of Step </w:t>
      </w:r>
      <w:r w:rsidRPr="0077342B">
        <w:rPr>
          <w:strike/>
        </w:rPr>
        <w:t xml:space="preserve">6 </w:t>
      </w:r>
      <w:r w:rsidRPr="0077342B">
        <w:rPr>
          <w:color w:val="00B050"/>
        </w:rPr>
        <w:t xml:space="preserve">  </w:t>
      </w:r>
      <w:r w:rsidRPr="00927CE3">
        <w:rPr>
          <w:color w:val="984806" w:themeColor="accent6" w:themeShade="80"/>
        </w:rPr>
        <w:t>9</w:t>
      </w:r>
    </w:p>
    <w:p w:rsidR="00DF0505" w:rsidRPr="0077342B" w:rsidRDefault="00DF0505" w:rsidP="00130B28">
      <w:pPr>
        <w:ind w:firstLine="720"/>
        <w:contextualSpacing/>
      </w:pPr>
    </w:p>
    <w:p w:rsidR="00DF0505" w:rsidRPr="0077342B" w:rsidRDefault="00DF0505" w:rsidP="00130B28">
      <w:pPr>
        <w:ind w:left="720" w:hanging="720"/>
        <w:contextualSpacing/>
      </w:pPr>
      <w:r w:rsidRPr="0077342B">
        <w:rPr>
          <w:b/>
          <w:bCs/>
        </w:rPr>
        <w:t xml:space="preserve">b. </w:t>
      </w:r>
      <w:r w:rsidRPr="0077342B">
        <w:rPr>
          <w:b/>
          <w:bCs/>
        </w:rPr>
        <w:tab/>
      </w:r>
      <w:r w:rsidRPr="0077342B">
        <w:t xml:space="preserve">Part-time academic assignments including overloads will be paid from the adjunct </w:t>
      </w:r>
      <w:r w:rsidRPr="0077342B">
        <w:rPr>
          <w:strike/>
        </w:rPr>
        <w:t>faculty</w:t>
      </w:r>
      <w:r w:rsidRPr="0077342B">
        <w:t xml:space="preserve"> </w:t>
      </w:r>
      <w:r w:rsidRPr="00927CE3">
        <w:rPr>
          <w:color w:val="984806" w:themeColor="accent6" w:themeShade="80"/>
        </w:rPr>
        <w:t>academic employee</w:t>
      </w:r>
      <w:r w:rsidRPr="0077342B">
        <w:rPr>
          <w:color w:val="C00000"/>
        </w:rPr>
        <w:t xml:space="preserve"> </w:t>
      </w:r>
      <w:r w:rsidRPr="0077342B">
        <w:t>salary schedule or the appropriate hourly salary schedule.</w:t>
      </w:r>
    </w:p>
    <w:p w:rsidR="00DF0505" w:rsidRPr="0077342B" w:rsidRDefault="00DF0505" w:rsidP="00130B28">
      <w:pPr>
        <w:ind w:left="720" w:hanging="720"/>
        <w:contextualSpacing/>
      </w:pPr>
    </w:p>
    <w:p w:rsidR="00DF0505" w:rsidRPr="00927CE3" w:rsidRDefault="00DF0505" w:rsidP="00130B28">
      <w:pPr>
        <w:ind w:left="720" w:hanging="720"/>
        <w:contextualSpacing/>
        <w:rPr>
          <w:color w:val="808080" w:themeColor="background1" w:themeShade="80"/>
        </w:rPr>
      </w:pPr>
      <w:r w:rsidRPr="00927CE3">
        <w:rPr>
          <w:b/>
          <w:bCs/>
          <w:color w:val="808080" w:themeColor="background1" w:themeShade="80"/>
        </w:rPr>
        <w:t xml:space="preserve">c. </w:t>
      </w:r>
      <w:r w:rsidRPr="00927CE3">
        <w:rPr>
          <w:b/>
          <w:bCs/>
          <w:color w:val="808080" w:themeColor="background1" w:themeShade="80"/>
        </w:rPr>
        <w:tab/>
      </w:r>
      <w:r w:rsidRPr="00927CE3">
        <w:rPr>
          <w:color w:val="808080" w:themeColor="background1" w:themeShade="80"/>
        </w:rPr>
        <w:t>During summer quarter, any progr</w:t>
      </w:r>
      <w:r w:rsidR="00877B09">
        <w:rPr>
          <w:color w:val="808080" w:themeColor="background1" w:themeShade="80"/>
        </w:rPr>
        <w:t>ams offered as “for credit/self-</w:t>
      </w:r>
      <w:r w:rsidRPr="00927CE3">
        <w:rPr>
          <w:color w:val="808080" w:themeColor="background1" w:themeShade="80"/>
        </w:rPr>
        <w:t xml:space="preserve">support” will be allocated to the workload category appropriate to that program as listed in Appendix H of the Master Contract and all other relevant sections of the Master Contract, will apply to these assignments. </w:t>
      </w:r>
    </w:p>
    <w:p w:rsidR="00DF0505" w:rsidRPr="0077342B" w:rsidRDefault="00DF0505" w:rsidP="00130B28">
      <w:pPr>
        <w:ind w:left="720" w:hanging="720"/>
        <w:contextualSpacing/>
      </w:pPr>
    </w:p>
    <w:p w:rsidR="00DF0505" w:rsidRPr="00927CE3" w:rsidRDefault="00DF0505" w:rsidP="00130B28">
      <w:pPr>
        <w:contextualSpacing/>
        <w:rPr>
          <w:color w:val="808080" w:themeColor="background1" w:themeShade="80"/>
        </w:rPr>
      </w:pPr>
      <w:proofErr w:type="gramStart"/>
      <w:r w:rsidRPr="00927CE3">
        <w:rPr>
          <w:b/>
          <w:bCs/>
          <w:color w:val="808080" w:themeColor="background1" w:themeShade="80"/>
        </w:rPr>
        <w:t>Section 3.</w:t>
      </w:r>
      <w:proofErr w:type="gramEnd"/>
      <w:r w:rsidRPr="00927CE3">
        <w:rPr>
          <w:b/>
          <w:bCs/>
          <w:color w:val="808080" w:themeColor="background1" w:themeShade="80"/>
        </w:rPr>
        <w:t xml:space="preserve"> </w:t>
      </w:r>
      <w:r w:rsidRPr="00927CE3">
        <w:rPr>
          <w:b/>
          <w:bCs/>
          <w:color w:val="808080" w:themeColor="background1" w:themeShade="80"/>
        </w:rPr>
        <w:tab/>
        <w:t>Adjunct and Hourly Salary Schedules</w:t>
      </w:r>
    </w:p>
    <w:p w:rsidR="00DF0505" w:rsidRPr="00927CE3" w:rsidRDefault="00DF0505" w:rsidP="00130B28">
      <w:pPr>
        <w:contextualSpacing/>
        <w:rPr>
          <w:color w:val="808080" w:themeColor="background1" w:themeShade="80"/>
        </w:rPr>
      </w:pPr>
      <w:r w:rsidRPr="00927CE3">
        <w:rPr>
          <w:color w:val="808080" w:themeColor="background1" w:themeShade="80"/>
        </w:rPr>
        <w:t>(See Article 25)</w:t>
      </w:r>
      <w:r w:rsidRPr="00927CE3">
        <w:rPr>
          <w:color w:val="808080" w:themeColor="background1" w:themeShade="80"/>
        </w:rPr>
        <w:tab/>
      </w:r>
    </w:p>
    <w:p w:rsidR="00DF0505" w:rsidRPr="00927CE3" w:rsidRDefault="00DF0505" w:rsidP="00130B28">
      <w:pPr>
        <w:contextualSpacing/>
        <w:rPr>
          <w:b/>
          <w:bCs/>
          <w:color w:val="808080" w:themeColor="background1" w:themeShade="80"/>
        </w:rPr>
      </w:pPr>
    </w:p>
    <w:p w:rsidR="00DF0505" w:rsidRPr="00927CE3" w:rsidRDefault="00DF0505" w:rsidP="00130B28">
      <w:pPr>
        <w:contextualSpacing/>
        <w:rPr>
          <w:color w:val="808080" w:themeColor="background1" w:themeShade="80"/>
        </w:rPr>
      </w:pPr>
      <w:proofErr w:type="gramStart"/>
      <w:r w:rsidRPr="00927CE3">
        <w:rPr>
          <w:b/>
          <w:bCs/>
          <w:color w:val="808080" w:themeColor="background1" w:themeShade="80"/>
        </w:rPr>
        <w:t>Section 4.</w:t>
      </w:r>
      <w:proofErr w:type="gramEnd"/>
      <w:r w:rsidRPr="00927CE3">
        <w:rPr>
          <w:b/>
          <w:bCs/>
          <w:color w:val="808080" w:themeColor="background1" w:themeShade="80"/>
        </w:rPr>
        <w:t xml:space="preserve"> </w:t>
      </w:r>
      <w:r w:rsidRPr="00927CE3">
        <w:rPr>
          <w:b/>
          <w:bCs/>
          <w:color w:val="808080" w:themeColor="background1" w:themeShade="80"/>
        </w:rPr>
        <w:tab/>
        <w:t>Stipends for Department Chairs</w:t>
      </w:r>
    </w:p>
    <w:p w:rsidR="00DF0505" w:rsidRPr="00927CE3" w:rsidRDefault="00DF0505" w:rsidP="00130B28">
      <w:pPr>
        <w:contextualSpacing/>
        <w:rPr>
          <w:color w:val="808080" w:themeColor="background1" w:themeShade="80"/>
        </w:rPr>
      </w:pPr>
      <w:r w:rsidRPr="00927CE3">
        <w:rPr>
          <w:color w:val="808080" w:themeColor="background1" w:themeShade="80"/>
        </w:rPr>
        <w:t>(See Article 14)</w:t>
      </w:r>
      <w:r w:rsidRPr="00927CE3">
        <w:rPr>
          <w:color w:val="808080" w:themeColor="background1" w:themeShade="80"/>
        </w:rPr>
        <w:tab/>
      </w:r>
    </w:p>
    <w:p w:rsidR="00927CE3" w:rsidRPr="0077342B" w:rsidRDefault="00927CE3" w:rsidP="00130B28">
      <w:pPr>
        <w:contextualSpacing/>
      </w:pPr>
    </w:p>
    <w:p w:rsidR="00DF0505" w:rsidRPr="0077342B" w:rsidRDefault="00DF0505" w:rsidP="00130B28">
      <w:pPr>
        <w:contextualSpacing/>
      </w:pPr>
      <w:proofErr w:type="gramStart"/>
      <w:r w:rsidRPr="0077342B">
        <w:rPr>
          <w:b/>
          <w:bCs/>
        </w:rPr>
        <w:lastRenderedPageBreak/>
        <w:t>Section 5.</w:t>
      </w:r>
      <w:proofErr w:type="gramEnd"/>
      <w:r w:rsidRPr="0077342B">
        <w:rPr>
          <w:b/>
          <w:bCs/>
        </w:rPr>
        <w:t xml:space="preserve"> </w:t>
      </w:r>
      <w:r w:rsidRPr="0077342B">
        <w:rPr>
          <w:b/>
          <w:bCs/>
        </w:rPr>
        <w:tab/>
        <w:t>Stipends for Advisors of Student Clubs and Organizations</w:t>
      </w:r>
    </w:p>
    <w:p w:rsidR="00DF0505" w:rsidRPr="0077342B" w:rsidRDefault="00DF0505" w:rsidP="00130B28">
      <w:pPr>
        <w:ind w:left="720" w:hanging="720"/>
        <w:contextualSpacing/>
      </w:pPr>
      <w:r w:rsidRPr="0077342B">
        <w:rPr>
          <w:b/>
          <w:bCs/>
        </w:rPr>
        <w:t xml:space="preserve">a. </w:t>
      </w:r>
      <w:r w:rsidRPr="0077342B">
        <w:rPr>
          <w:b/>
          <w:bCs/>
        </w:rPr>
        <w:tab/>
      </w:r>
      <w:r w:rsidRPr="0077342B">
        <w:t xml:space="preserve">The stipend for advisors of student clubs and organizations is as follows and, beginning with fiscal year </w:t>
      </w:r>
      <w:r w:rsidRPr="0077342B">
        <w:rPr>
          <w:strike/>
        </w:rPr>
        <w:t>2009-</w:t>
      </w:r>
      <w:proofErr w:type="gramStart"/>
      <w:r w:rsidRPr="0077342B">
        <w:rPr>
          <w:strike/>
        </w:rPr>
        <w:t>10</w:t>
      </w:r>
      <w:r w:rsidRPr="0077342B">
        <w:t xml:space="preserve">  </w:t>
      </w:r>
      <w:r w:rsidRPr="00877B09">
        <w:rPr>
          <w:color w:val="984806" w:themeColor="accent6" w:themeShade="80"/>
          <w:highlight w:val="lightGray"/>
        </w:rPr>
        <w:t>TBD</w:t>
      </w:r>
      <w:proofErr w:type="gramEnd"/>
      <w:r w:rsidR="00927CE3" w:rsidRPr="00877B09">
        <w:rPr>
          <w:color w:val="984806" w:themeColor="accent6" w:themeShade="80"/>
          <w:highlight w:val="lightGray"/>
        </w:rPr>
        <w:t xml:space="preserve"> per college’s ASB fee process</w:t>
      </w:r>
      <w:r w:rsidRPr="0077342B">
        <w:t xml:space="preserve">, shall be adjusted annually based upon the agreement of the parties per Article 27(2). </w:t>
      </w:r>
    </w:p>
    <w:p w:rsidR="00DF0505" w:rsidRPr="0077342B" w:rsidRDefault="00DF0505" w:rsidP="00130B28">
      <w:pPr>
        <w:contextualSpacing/>
        <w:rPr>
          <w:b/>
          <w:bCs/>
        </w:rPr>
      </w:pPr>
    </w:p>
    <w:tbl>
      <w:tblPr>
        <w:tblStyle w:val="TableGrid"/>
        <w:tblW w:w="0" w:type="auto"/>
        <w:tblLook w:val="00A0" w:firstRow="1" w:lastRow="0" w:firstColumn="1" w:lastColumn="0" w:noHBand="0" w:noVBand="0"/>
      </w:tblPr>
      <w:tblGrid>
        <w:gridCol w:w="1928"/>
        <w:gridCol w:w="1082"/>
        <w:gridCol w:w="1083"/>
        <w:gridCol w:w="1083"/>
        <w:gridCol w:w="1083"/>
        <w:gridCol w:w="1083"/>
        <w:gridCol w:w="1083"/>
        <w:gridCol w:w="1151"/>
      </w:tblGrid>
      <w:tr w:rsidR="00DF0505" w:rsidRPr="0077342B">
        <w:tc>
          <w:tcPr>
            <w:tcW w:w="1928" w:type="dxa"/>
            <w:vAlign w:val="center"/>
          </w:tcPr>
          <w:p w:rsidR="00DF0505" w:rsidRPr="0077342B" w:rsidRDefault="00DF0505" w:rsidP="00937E5B">
            <w:pPr>
              <w:contextualSpacing/>
              <w:jc w:val="center"/>
              <w:rPr>
                <w:bCs/>
              </w:rPr>
            </w:pPr>
            <w:r w:rsidRPr="0077342B">
              <w:rPr>
                <w:bCs/>
              </w:rPr>
              <w:t>Category</w:t>
            </w:r>
          </w:p>
        </w:tc>
        <w:tc>
          <w:tcPr>
            <w:tcW w:w="1082" w:type="dxa"/>
            <w:vAlign w:val="center"/>
          </w:tcPr>
          <w:p w:rsidR="00DF0505" w:rsidRPr="0077342B" w:rsidRDefault="00DF0505" w:rsidP="00937E5B">
            <w:pPr>
              <w:contextualSpacing/>
              <w:jc w:val="center"/>
              <w:rPr>
                <w:bCs/>
              </w:rPr>
            </w:pPr>
            <w:r w:rsidRPr="0077342B">
              <w:rPr>
                <w:bCs/>
              </w:rPr>
              <w:t>A</w:t>
            </w:r>
          </w:p>
        </w:tc>
        <w:tc>
          <w:tcPr>
            <w:tcW w:w="1083" w:type="dxa"/>
            <w:vAlign w:val="center"/>
          </w:tcPr>
          <w:p w:rsidR="00DF0505" w:rsidRPr="0077342B" w:rsidRDefault="00DF0505" w:rsidP="00937E5B">
            <w:pPr>
              <w:contextualSpacing/>
              <w:jc w:val="center"/>
              <w:rPr>
                <w:bCs/>
              </w:rPr>
            </w:pPr>
            <w:r w:rsidRPr="0077342B">
              <w:rPr>
                <w:bCs/>
              </w:rPr>
              <w:t>B</w:t>
            </w:r>
          </w:p>
        </w:tc>
        <w:tc>
          <w:tcPr>
            <w:tcW w:w="1083" w:type="dxa"/>
            <w:vAlign w:val="center"/>
          </w:tcPr>
          <w:p w:rsidR="00DF0505" w:rsidRPr="0077342B" w:rsidRDefault="00DF0505" w:rsidP="00937E5B">
            <w:pPr>
              <w:contextualSpacing/>
              <w:jc w:val="center"/>
              <w:rPr>
                <w:bCs/>
              </w:rPr>
            </w:pPr>
            <w:r w:rsidRPr="0077342B">
              <w:rPr>
                <w:bCs/>
              </w:rPr>
              <w:t>C</w:t>
            </w:r>
          </w:p>
        </w:tc>
        <w:tc>
          <w:tcPr>
            <w:tcW w:w="1083" w:type="dxa"/>
            <w:vAlign w:val="center"/>
          </w:tcPr>
          <w:p w:rsidR="00DF0505" w:rsidRPr="0077342B" w:rsidRDefault="00DF0505" w:rsidP="00937E5B">
            <w:pPr>
              <w:contextualSpacing/>
              <w:jc w:val="center"/>
              <w:rPr>
                <w:bCs/>
              </w:rPr>
            </w:pPr>
            <w:r w:rsidRPr="0077342B">
              <w:rPr>
                <w:bCs/>
              </w:rPr>
              <w:t>D</w:t>
            </w:r>
          </w:p>
        </w:tc>
        <w:tc>
          <w:tcPr>
            <w:tcW w:w="1083" w:type="dxa"/>
            <w:vAlign w:val="center"/>
          </w:tcPr>
          <w:p w:rsidR="00DF0505" w:rsidRPr="0077342B" w:rsidRDefault="00DF0505" w:rsidP="00937E5B">
            <w:pPr>
              <w:contextualSpacing/>
              <w:jc w:val="center"/>
              <w:rPr>
                <w:bCs/>
              </w:rPr>
            </w:pPr>
            <w:r w:rsidRPr="0077342B">
              <w:rPr>
                <w:bCs/>
              </w:rPr>
              <w:t>E</w:t>
            </w:r>
          </w:p>
        </w:tc>
        <w:tc>
          <w:tcPr>
            <w:tcW w:w="1083" w:type="dxa"/>
            <w:vAlign w:val="center"/>
          </w:tcPr>
          <w:p w:rsidR="00DF0505" w:rsidRPr="0077342B" w:rsidRDefault="00DF0505" w:rsidP="00937E5B">
            <w:pPr>
              <w:contextualSpacing/>
              <w:jc w:val="center"/>
              <w:rPr>
                <w:bCs/>
              </w:rPr>
            </w:pPr>
            <w:r w:rsidRPr="0077342B">
              <w:rPr>
                <w:bCs/>
              </w:rPr>
              <w:t>F</w:t>
            </w:r>
          </w:p>
        </w:tc>
        <w:tc>
          <w:tcPr>
            <w:tcW w:w="1151" w:type="dxa"/>
            <w:vAlign w:val="center"/>
          </w:tcPr>
          <w:p w:rsidR="00DF0505" w:rsidRPr="0077342B" w:rsidRDefault="00DF0505" w:rsidP="00937E5B">
            <w:pPr>
              <w:contextualSpacing/>
              <w:jc w:val="center"/>
              <w:rPr>
                <w:bCs/>
              </w:rPr>
            </w:pPr>
            <w:r w:rsidRPr="0077342B">
              <w:rPr>
                <w:bCs/>
              </w:rPr>
              <w:t>G</w:t>
            </w:r>
          </w:p>
        </w:tc>
      </w:tr>
      <w:tr w:rsidR="00DF0505" w:rsidRPr="0077342B">
        <w:tc>
          <w:tcPr>
            <w:tcW w:w="1928" w:type="dxa"/>
            <w:vAlign w:val="center"/>
          </w:tcPr>
          <w:p w:rsidR="00DF0505" w:rsidRPr="0077342B" w:rsidRDefault="00DF0505" w:rsidP="00937E5B">
            <w:pPr>
              <w:contextualSpacing/>
              <w:jc w:val="center"/>
              <w:rPr>
                <w:bCs/>
              </w:rPr>
            </w:pPr>
            <w:r w:rsidRPr="0077342B">
              <w:rPr>
                <w:bCs/>
              </w:rPr>
              <w:t>Number of approved activities</w:t>
            </w:r>
          </w:p>
        </w:tc>
        <w:tc>
          <w:tcPr>
            <w:tcW w:w="1082" w:type="dxa"/>
            <w:vAlign w:val="center"/>
          </w:tcPr>
          <w:p w:rsidR="00DF0505" w:rsidRPr="0077342B" w:rsidRDefault="00DF0505" w:rsidP="00937E5B">
            <w:pPr>
              <w:contextualSpacing/>
              <w:jc w:val="center"/>
              <w:rPr>
                <w:bCs/>
              </w:rPr>
            </w:pPr>
            <w:r w:rsidRPr="0077342B">
              <w:rPr>
                <w:bCs/>
              </w:rPr>
              <w:t>1-2</w:t>
            </w:r>
          </w:p>
        </w:tc>
        <w:tc>
          <w:tcPr>
            <w:tcW w:w="1083" w:type="dxa"/>
            <w:vAlign w:val="center"/>
          </w:tcPr>
          <w:p w:rsidR="00DF0505" w:rsidRPr="0077342B" w:rsidRDefault="00DF0505" w:rsidP="00937E5B">
            <w:pPr>
              <w:contextualSpacing/>
              <w:jc w:val="center"/>
              <w:rPr>
                <w:bCs/>
              </w:rPr>
            </w:pPr>
            <w:r w:rsidRPr="0077342B">
              <w:rPr>
                <w:bCs/>
              </w:rPr>
              <w:t>3</w:t>
            </w:r>
          </w:p>
        </w:tc>
        <w:tc>
          <w:tcPr>
            <w:tcW w:w="1083" w:type="dxa"/>
            <w:vAlign w:val="center"/>
          </w:tcPr>
          <w:p w:rsidR="00DF0505" w:rsidRPr="0077342B" w:rsidRDefault="00DF0505" w:rsidP="00937E5B">
            <w:pPr>
              <w:contextualSpacing/>
              <w:jc w:val="center"/>
              <w:rPr>
                <w:bCs/>
              </w:rPr>
            </w:pPr>
            <w:r w:rsidRPr="0077342B">
              <w:rPr>
                <w:bCs/>
              </w:rPr>
              <w:t>4</w:t>
            </w:r>
          </w:p>
        </w:tc>
        <w:tc>
          <w:tcPr>
            <w:tcW w:w="1083" w:type="dxa"/>
            <w:vAlign w:val="center"/>
          </w:tcPr>
          <w:p w:rsidR="00DF0505" w:rsidRPr="0077342B" w:rsidRDefault="00DF0505" w:rsidP="00937E5B">
            <w:pPr>
              <w:contextualSpacing/>
              <w:jc w:val="center"/>
              <w:rPr>
                <w:bCs/>
              </w:rPr>
            </w:pPr>
            <w:r w:rsidRPr="0077342B">
              <w:rPr>
                <w:bCs/>
              </w:rPr>
              <w:t>5</w:t>
            </w:r>
          </w:p>
        </w:tc>
        <w:tc>
          <w:tcPr>
            <w:tcW w:w="1083" w:type="dxa"/>
            <w:vAlign w:val="center"/>
          </w:tcPr>
          <w:p w:rsidR="00DF0505" w:rsidRPr="0077342B" w:rsidRDefault="00DF0505" w:rsidP="00937E5B">
            <w:pPr>
              <w:contextualSpacing/>
              <w:jc w:val="center"/>
              <w:rPr>
                <w:bCs/>
              </w:rPr>
            </w:pPr>
            <w:r w:rsidRPr="0077342B">
              <w:rPr>
                <w:bCs/>
              </w:rPr>
              <w:t>6</w:t>
            </w:r>
          </w:p>
        </w:tc>
        <w:tc>
          <w:tcPr>
            <w:tcW w:w="1083" w:type="dxa"/>
            <w:vAlign w:val="center"/>
          </w:tcPr>
          <w:p w:rsidR="00DF0505" w:rsidRPr="0077342B" w:rsidRDefault="00DF0505" w:rsidP="00937E5B">
            <w:pPr>
              <w:contextualSpacing/>
              <w:jc w:val="center"/>
              <w:rPr>
                <w:bCs/>
              </w:rPr>
            </w:pPr>
            <w:r w:rsidRPr="0077342B">
              <w:rPr>
                <w:bCs/>
              </w:rPr>
              <w:t>7</w:t>
            </w:r>
          </w:p>
        </w:tc>
        <w:tc>
          <w:tcPr>
            <w:tcW w:w="1151" w:type="dxa"/>
            <w:vAlign w:val="center"/>
          </w:tcPr>
          <w:p w:rsidR="00DF0505" w:rsidRPr="0077342B" w:rsidRDefault="00DF0505" w:rsidP="00937E5B">
            <w:pPr>
              <w:contextualSpacing/>
              <w:jc w:val="center"/>
              <w:rPr>
                <w:bCs/>
              </w:rPr>
            </w:pPr>
            <w:r w:rsidRPr="0077342B">
              <w:rPr>
                <w:bCs/>
              </w:rPr>
              <w:t>8-up</w:t>
            </w:r>
          </w:p>
        </w:tc>
      </w:tr>
      <w:tr w:rsidR="00DF0505" w:rsidRPr="0077342B">
        <w:tc>
          <w:tcPr>
            <w:tcW w:w="1928" w:type="dxa"/>
            <w:vAlign w:val="center"/>
          </w:tcPr>
          <w:p w:rsidR="00DF0505" w:rsidRPr="0077342B" w:rsidRDefault="00DF0505" w:rsidP="00937E5B">
            <w:pPr>
              <w:contextualSpacing/>
              <w:jc w:val="center"/>
              <w:rPr>
                <w:bCs/>
              </w:rPr>
            </w:pPr>
            <w:r w:rsidRPr="0077342B">
              <w:rPr>
                <w:bCs/>
              </w:rPr>
              <w:t xml:space="preserve">Normal Stipend Effective </w:t>
            </w:r>
            <w:r w:rsidRPr="0077342B">
              <w:rPr>
                <w:bCs/>
                <w:strike/>
              </w:rPr>
              <w:t xml:space="preserve">Fall ’09 </w:t>
            </w:r>
            <w:r w:rsidRPr="00877B09">
              <w:rPr>
                <w:bCs/>
                <w:color w:val="984806" w:themeColor="accent6" w:themeShade="80"/>
                <w:highlight w:val="lightGray"/>
              </w:rPr>
              <w:t>TBD</w:t>
            </w:r>
          </w:p>
        </w:tc>
        <w:tc>
          <w:tcPr>
            <w:tcW w:w="1082" w:type="dxa"/>
            <w:vAlign w:val="center"/>
          </w:tcPr>
          <w:p w:rsidR="00DF0505" w:rsidRPr="0077342B" w:rsidRDefault="00DF0505" w:rsidP="00937E5B">
            <w:pPr>
              <w:contextualSpacing/>
              <w:jc w:val="center"/>
              <w:rPr>
                <w:bCs/>
                <w:strike/>
              </w:rPr>
            </w:pPr>
            <w:r w:rsidRPr="0077342B">
              <w:rPr>
                <w:strike/>
              </w:rPr>
              <w:t>$160.50</w:t>
            </w:r>
          </w:p>
        </w:tc>
        <w:tc>
          <w:tcPr>
            <w:tcW w:w="1083" w:type="dxa"/>
            <w:vAlign w:val="center"/>
          </w:tcPr>
          <w:p w:rsidR="00DF0505" w:rsidRPr="0077342B" w:rsidRDefault="00DF0505" w:rsidP="00937E5B">
            <w:pPr>
              <w:contextualSpacing/>
              <w:jc w:val="center"/>
              <w:rPr>
                <w:bCs/>
                <w:strike/>
              </w:rPr>
            </w:pPr>
            <w:r w:rsidRPr="0077342B">
              <w:rPr>
                <w:strike/>
              </w:rPr>
              <w:t>$321.00</w:t>
            </w:r>
          </w:p>
        </w:tc>
        <w:tc>
          <w:tcPr>
            <w:tcW w:w="1083" w:type="dxa"/>
            <w:vAlign w:val="center"/>
          </w:tcPr>
          <w:p w:rsidR="00DF0505" w:rsidRPr="0077342B" w:rsidRDefault="00DF0505" w:rsidP="00937E5B">
            <w:pPr>
              <w:contextualSpacing/>
              <w:jc w:val="center"/>
              <w:rPr>
                <w:bCs/>
                <w:strike/>
              </w:rPr>
            </w:pPr>
            <w:r w:rsidRPr="0077342B">
              <w:rPr>
                <w:strike/>
              </w:rPr>
              <w:t>$481.50</w:t>
            </w:r>
          </w:p>
        </w:tc>
        <w:tc>
          <w:tcPr>
            <w:tcW w:w="1083" w:type="dxa"/>
            <w:vAlign w:val="center"/>
          </w:tcPr>
          <w:p w:rsidR="00DF0505" w:rsidRPr="0077342B" w:rsidRDefault="00DF0505" w:rsidP="00937E5B">
            <w:pPr>
              <w:contextualSpacing/>
              <w:jc w:val="center"/>
              <w:rPr>
                <w:bCs/>
                <w:strike/>
              </w:rPr>
            </w:pPr>
            <w:r w:rsidRPr="0077342B">
              <w:rPr>
                <w:strike/>
              </w:rPr>
              <w:t>$642.00</w:t>
            </w:r>
          </w:p>
        </w:tc>
        <w:tc>
          <w:tcPr>
            <w:tcW w:w="1083" w:type="dxa"/>
            <w:vAlign w:val="center"/>
          </w:tcPr>
          <w:p w:rsidR="00DF0505" w:rsidRPr="0077342B" w:rsidRDefault="00DF0505" w:rsidP="00937E5B">
            <w:pPr>
              <w:contextualSpacing/>
              <w:jc w:val="center"/>
              <w:rPr>
                <w:bCs/>
                <w:strike/>
              </w:rPr>
            </w:pPr>
            <w:r w:rsidRPr="0077342B">
              <w:rPr>
                <w:strike/>
              </w:rPr>
              <w:t>$802.50</w:t>
            </w:r>
          </w:p>
        </w:tc>
        <w:tc>
          <w:tcPr>
            <w:tcW w:w="1083" w:type="dxa"/>
            <w:vAlign w:val="center"/>
          </w:tcPr>
          <w:p w:rsidR="00DF0505" w:rsidRPr="0077342B" w:rsidRDefault="00DF0505" w:rsidP="00937E5B">
            <w:pPr>
              <w:contextualSpacing/>
              <w:jc w:val="center"/>
              <w:rPr>
                <w:bCs/>
                <w:strike/>
              </w:rPr>
            </w:pPr>
            <w:r w:rsidRPr="0077342B">
              <w:rPr>
                <w:strike/>
              </w:rPr>
              <w:t>$963.00</w:t>
            </w:r>
          </w:p>
        </w:tc>
        <w:tc>
          <w:tcPr>
            <w:tcW w:w="1151" w:type="dxa"/>
            <w:vAlign w:val="center"/>
          </w:tcPr>
          <w:p w:rsidR="00DF0505" w:rsidRPr="0077342B" w:rsidRDefault="00DF0505" w:rsidP="000A7E26">
            <w:pPr>
              <w:contextualSpacing/>
              <w:jc w:val="center"/>
              <w:rPr>
                <w:strike/>
              </w:rPr>
            </w:pPr>
            <w:r w:rsidRPr="0077342B">
              <w:rPr>
                <w:strike/>
              </w:rPr>
              <w:t>$1,123.50</w:t>
            </w:r>
          </w:p>
        </w:tc>
      </w:tr>
      <w:tr w:rsidR="00DF0505" w:rsidRPr="0077342B">
        <w:tc>
          <w:tcPr>
            <w:tcW w:w="1928" w:type="dxa"/>
            <w:vAlign w:val="center"/>
          </w:tcPr>
          <w:p w:rsidR="00DF0505" w:rsidRPr="00927CE3" w:rsidRDefault="00927CE3" w:rsidP="0042286A">
            <w:pPr>
              <w:contextualSpacing/>
              <w:jc w:val="center"/>
              <w:rPr>
                <w:bCs/>
                <w:color w:val="984806" w:themeColor="accent6" w:themeShade="80"/>
              </w:rPr>
            </w:pPr>
            <w:r w:rsidRPr="00927CE3">
              <w:rPr>
                <w:bCs/>
                <w:color w:val="984806" w:themeColor="accent6" w:themeShade="80"/>
              </w:rPr>
              <w:t>A</w:t>
            </w:r>
            <w:r w:rsidR="00DF0505" w:rsidRPr="00927CE3">
              <w:rPr>
                <w:bCs/>
                <w:color w:val="984806" w:themeColor="accent6" w:themeShade="80"/>
              </w:rPr>
              <w:t>n annual base stipend of $300</w:t>
            </w:r>
          </w:p>
        </w:tc>
        <w:tc>
          <w:tcPr>
            <w:tcW w:w="1082" w:type="dxa"/>
            <w:vAlign w:val="center"/>
          </w:tcPr>
          <w:p w:rsidR="00DF0505" w:rsidRPr="00927CE3" w:rsidRDefault="00DF0505" w:rsidP="00937E5B">
            <w:pPr>
              <w:contextualSpacing/>
              <w:jc w:val="center"/>
              <w:rPr>
                <w:color w:val="984806" w:themeColor="accent6" w:themeShade="80"/>
              </w:rPr>
            </w:pPr>
            <w:r w:rsidRPr="00927CE3">
              <w:rPr>
                <w:color w:val="984806" w:themeColor="accent6" w:themeShade="80"/>
              </w:rPr>
              <w:t>$200</w:t>
            </w:r>
          </w:p>
        </w:tc>
        <w:tc>
          <w:tcPr>
            <w:tcW w:w="1083" w:type="dxa"/>
            <w:vAlign w:val="center"/>
          </w:tcPr>
          <w:p w:rsidR="00DF0505" w:rsidRPr="00927CE3" w:rsidRDefault="00DF0505" w:rsidP="00937E5B">
            <w:pPr>
              <w:contextualSpacing/>
              <w:jc w:val="center"/>
              <w:rPr>
                <w:color w:val="984806" w:themeColor="accent6" w:themeShade="80"/>
              </w:rPr>
            </w:pPr>
            <w:r w:rsidRPr="00927CE3">
              <w:rPr>
                <w:color w:val="984806" w:themeColor="accent6" w:themeShade="80"/>
              </w:rPr>
              <w:t>$400</w:t>
            </w:r>
          </w:p>
        </w:tc>
        <w:tc>
          <w:tcPr>
            <w:tcW w:w="1083" w:type="dxa"/>
            <w:vAlign w:val="center"/>
          </w:tcPr>
          <w:p w:rsidR="00DF0505" w:rsidRPr="00927CE3" w:rsidRDefault="00DF0505" w:rsidP="00937E5B">
            <w:pPr>
              <w:contextualSpacing/>
              <w:jc w:val="center"/>
              <w:rPr>
                <w:color w:val="984806" w:themeColor="accent6" w:themeShade="80"/>
              </w:rPr>
            </w:pPr>
            <w:r w:rsidRPr="00927CE3">
              <w:rPr>
                <w:color w:val="984806" w:themeColor="accent6" w:themeShade="80"/>
              </w:rPr>
              <w:t>$600</w:t>
            </w:r>
          </w:p>
        </w:tc>
        <w:tc>
          <w:tcPr>
            <w:tcW w:w="1083" w:type="dxa"/>
            <w:vAlign w:val="center"/>
          </w:tcPr>
          <w:p w:rsidR="00DF0505" w:rsidRPr="00927CE3" w:rsidRDefault="00DF0505" w:rsidP="00937E5B">
            <w:pPr>
              <w:contextualSpacing/>
              <w:jc w:val="center"/>
              <w:rPr>
                <w:color w:val="984806" w:themeColor="accent6" w:themeShade="80"/>
              </w:rPr>
            </w:pPr>
            <w:r w:rsidRPr="00927CE3">
              <w:rPr>
                <w:color w:val="984806" w:themeColor="accent6" w:themeShade="80"/>
              </w:rPr>
              <w:t>$800</w:t>
            </w:r>
          </w:p>
        </w:tc>
        <w:tc>
          <w:tcPr>
            <w:tcW w:w="1083" w:type="dxa"/>
            <w:vAlign w:val="center"/>
          </w:tcPr>
          <w:p w:rsidR="00DF0505" w:rsidRPr="00927CE3" w:rsidRDefault="00DF0505" w:rsidP="00937E5B">
            <w:pPr>
              <w:contextualSpacing/>
              <w:jc w:val="center"/>
              <w:rPr>
                <w:color w:val="984806" w:themeColor="accent6" w:themeShade="80"/>
              </w:rPr>
            </w:pPr>
            <w:r w:rsidRPr="00927CE3">
              <w:rPr>
                <w:color w:val="984806" w:themeColor="accent6" w:themeShade="80"/>
              </w:rPr>
              <w:t>$1,000</w:t>
            </w:r>
          </w:p>
        </w:tc>
        <w:tc>
          <w:tcPr>
            <w:tcW w:w="1083" w:type="dxa"/>
            <w:vAlign w:val="center"/>
          </w:tcPr>
          <w:p w:rsidR="00DF0505" w:rsidRPr="00927CE3" w:rsidRDefault="00DF0505" w:rsidP="00937E5B">
            <w:pPr>
              <w:contextualSpacing/>
              <w:jc w:val="center"/>
              <w:rPr>
                <w:color w:val="984806" w:themeColor="accent6" w:themeShade="80"/>
              </w:rPr>
            </w:pPr>
            <w:r w:rsidRPr="00927CE3">
              <w:rPr>
                <w:color w:val="984806" w:themeColor="accent6" w:themeShade="80"/>
              </w:rPr>
              <w:t>$1,200</w:t>
            </w:r>
          </w:p>
        </w:tc>
        <w:tc>
          <w:tcPr>
            <w:tcW w:w="1151" w:type="dxa"/>
            <w:vAlign w:val="center"/>
          </w:tcPr>
          <w:p w:rsidR="00DF0505" w:rsidRPr="00927CE3" w:rsidRDefault="00DF0505" w:rsidP="00937E5B">
            <w:pPr>
              <w:contextualSpacing/>
              <w:jc w:val="center"/>
              <w:rPr>
                <w:color w:val="984806" w:themeColor="accent6" w:themeShade="80"/>
              </w:rPr>
            </w:pPr>
            <w:r w:rsidRPr="00927CE3">
              <w:rPr>
                <w:color w:val="984806" w:themeColor="accent6" w:themeShade="80"/>
              </w:rPr>
              <w:t>$1,400</w:t>
            </w:r>
          </w:p>
        </w:tc>
      </w:tr>
    </w:tbl>
    <w:p w:rsidR="00DF0505" w:rsidRPr="0077342B" w:rsidRDefault="00DF0505" w:rsidP="00130B28">
      <w:pPr>
        <w:contextualSpacing/>
        <w:rPr>
          <w:b/>
          <w:bCs/>
        </w:rPr>
      </w:pPr>
    </w:p>
    <w:p w:rsidR="00DF0505" w:rsidRPr="0077342B" w:rsidRDefault="00DF0505" w:rsidP="00130B28">
      <w:pPr>
        <w:contextualSpacing/>
      </w:pPr>
      <w:proofErr w:type="gramStart"/>
      <w:r w:rsidRPr="0077342B">
        <w:rPr>
          <w:b/>
          <w:bCs/>
        </w:rPr>
        <w:t>b</w:t>
      </w:r>
      <w:proofErr w:type="gramEnd"/>
      <w:r w:rsidRPr="0077342B">
        <w:rPr>
          <w:b/>
          <w:bCs/>
        </w:rPr>
        <w:t xml:space="preserve">. </w:t>
      </w:r>
    </w:p>
    <w:p w:rsidR="00DF0505" w:rsidRPr="00927CE3" w:rsidRDefault="00DF0505" w:rsidP="0042286A">
      <w:pPr>
        <w:pStyle w:val="ListParagraph"/>
        <w:numPr>
          <w:ilvl w:val="0"/>
          <w:numId w:val="1"/>
        </w:numPr>
        <w:rPr>
          <w:color w:val="984806" w:themeColor="accent6" w:themeShade="80"/>
        </w:rPr>
      </w:pPr>
      <w:r w:rsidRPr="00927CE3">
        <w:rPr>
          <w:color w:val="984806" w:themeColor="accent6" w:themeShade="80"/>
        </w:rPr>
        <w:t xml:space="preserve">Annual base stipend is provided in compensation for basic, non-activity club functions (e.g., organizing, recruiting, maintaining ASG status) </w:t>
      </w:r>
    </w:p>
    <w:p w:rsidR="00DF0505" w:rsidRPr="0077342B" w:rsidRDefault="00DF0505" w:rsidP="00130B28">
      <w:pPr>
        <w:pStyle w:val="ListParagraph"/>
        <w:numPr>
          <w:ilvl w:val="0"/>
          <w:numId w:val="1"/>
        </w:numPr>
      </w:pPr>
      <w:r w:rsidRPr="0077342B">
        <w:t xml:space="preserve">An activity may accumulate up to a maximum of two (2) special factors, assuming qualifications are met.  The special factors will be chosen from the following list: </w:t>
      </w:r>
    </w:p>
    <w:p w:rsidR="00DF0505" w:rsidRPr="0077342B" w:rsidRDefault="00DF0505" w:rsidP="00130B28">
      <w:pPr>
        <w:pStyle w:val="ListParagraph"/>
        <w:numPr>
          <w:ilvl w:val="0"/>
          <w:numId w:val="2"/>
        </w:numPr>
      </w:pPr>
      <w:r w:rsidRPr="0077342B">
        <w:t xml:space="preserve">College-approved competition, </w:t>
      </w:r>
    </w:p>
    <w:p w:rsidR="00DF0505" w:rsidRPr="0077342B" w:rsidRDefault="00DF0505" w:rsidP="00130B28">
      <w:pPr>
        <w:pStyle w:val="ListParagraph"/>
        <w:numPr>
          <w:ilvl w:val="0"/>
          <w:numId w:val="2"/>
        </w:numPr>
      </w:pPr>
      <w:r w:rsidRPr="0077342B">
        <w:t>Service to the college</w:t>
      </w:r>
      <w:r w:rsidRPr="0077342B">
        <w:rPr>
          <w:strike/>
        </w:rPr>
        <w:t>/IEL</w:t>
      </w:r>
      <w:r w:rsidRPr="0077342B">
        <w:t xml:space="preserve"> or community, and </w:t>
      </w:r>
    </w:p>
    <w:p w:rsidR="00DF0505" w:rsidRPr="0077342B" w:rsidRDefault="00DF0505" w:rsidP="00130B28">
      <w:pPr>
        <w:pStyle w:val="ListParagraph"/>
        <w:numPr>
          <w:ilvl w:val="0"/>
          <w:numId w:val="2"/>
        </w:numPr>
      </w:pPr>
      <w:r w:rsidRPr="0077342B">
        <w:t xml:space="preserve">Advisor service after the first year. </w:t>
      </w:r>
    </w:p>
    <w:p w:rsidR="00DF0505" w:rsidRPr="0077342B" w:rsidRDefault="00DF0505" w:rsidP="00937E5B">
      <w:pPr>
        <w:ind w:firstLine="720"/>
        <w:contextualSpacing/>
      </w:pPr>
      <w:r w:rsidRPr="0077342B">
        <w:t>Each special factor has a stipend of $</w:t>
      </w:r>
      <w:proofErr w:type="gramStart"/>
      <w:r w:rsidRPr="0077342B">
        <w:rPr>
          <w:strike/>
        </w:rPr>
        <w:t>160.50</w:t>
      </w:r>
      <w:r w:rsidRPr="0077342B">
        <w:t xml:space="preserve">  </w:t>
      </w:r>
      <w:r w:rsidRPr="00927CE3">
        <w:rPr>
          <w:color w:val="984806" w:themeColor="accent6" w:themeShade="80"/>
        </w:rPr>
        <w:t>$</w:t>
      </w:r>
      <w:proofErr w:type="gramEnd"/>
      <w:r w:rsidRPr="00927CE3">
        <w:rPr>
          <w:color w:val="984806" w:themeColor="accent6" w:themeShade="80"/>
        </w:rPr>
        <w:t xml:space="preserve">200 </w:t>
      </w:r>
    </w:p>
    <w:p w:rsidR="00DF0505" w:rsidRPr="0077342B" w:rsidRDefault="00DF0505" w:rsidP="00937E5B">
      <w:pPr>
        <w:pStyle w:val="ListParagraph"/>
        <w:numPr>
          <w:ilvl w:val="0"/>
          <w:numId w:val="1"/>
        </w:numPr>
      </w:pPr>
      <w:r w:rsidRPr="0077342B">
        <w:t>A longevity stipend of $</w:t>
      </w:r>
      <w:r w:rsidRPr="0077342B">
        <w:rPr>
          <w:strike/>
        </w:rPr>
        <w:t>160.50</w:t>
      </w:r>
      <w:r w:rsidRPr="0077342B">
        <w:t xml:space="preserve"> </w:t>
      </w:r>
      <w:r w:rsidRPr="00927CE3">
        <w:rPr>
          <w:color w:val="984806" w:themeColor="accent6" w:themeShade="80"/>
        </w:rPr>
        <w:t xml:space="preserve">$200 </w:t>
      </w:r>
      <w:r w:rsidRPr="0077342B">
        <w:t xml:space="preserve">shall be granted at the end of the academic year in which earned for each </w:t>
      </w:r>
      <w:r w:rsidRPr="0077342B">
        <w:rPr>
          <w:strike/>
        </w:rPr>
        <w:t>five</w:t>
      </w:r>
      <w:r w:rsidRPr="0077342B">
        <w:t xml:space="preserve"> </w:t>
      </w:r>
      <w:r w:rsidRPr="00927CE3">
        <w:rPr>
          <w:color w:val="984806" w:themeColor="accent6" w:themeShade="80"/>
        </w:rPr>
        <w:t xml:space="preserve">three </w:t>
      </w:r>
      <w:r w:rsidRPr="0077342B">
        <w:t xml:space="preserve">years of advising the same specific club.  </w:t>
      </w:r>
    </w:p>
    <w:p w:rsidR="00DF0505" w:rsidRPr="00927CE3" w:rsidRDefault="00DF0505" w:rsidP="00130B28">
      <w:pPr>
        <w:contextualSpacing/>
        <w:rPr>
          <w:color w:val="808080" w:themeColor="background1" w:themeShade="80"/>
        </w:rPr>
      </w:pPr>
      <w:r w:rsidRPr="00927CE3">
        <w:rPr>
          <w:b/>
          <w:bCs/>
          <w:color w:val="808080" w:themeColor="background1" w:themeShade="80"/>
        </w:rPr>
        <w:t xml:space="preserve">c. </w:t>
      </w:r>
      <w:r w:rsidRPr="00927CE3">
        <w:rPr>
          <w:b/>
          <w:bCs/>
          <w:color w:val="808080" w:themeColor="background1" w:themeShade="80"/>
        </w:rPr>
        <w:tab/>
      </w:r>
      <w:r w:rsidRPr="00927CE3">
        <w:rPr>
          <w:color w:val="808080" w:themeColor="background1" w:themeShade="80"/>
        </w:rPr>
        <w:t xml:space="preserve">The following general guidelines and definitions apply. </w:t>
      </w:r>
    </w:p>
    <w:p w:rsidR="00DF0505" w:rsidRPr="00927CE3" w:rsidRDefault="00DF0505" w:rsidP="00937E5B">
      <w:pPr>
        <w:ind w:left="1440" w:hanging="720"/>
        <w:contextualSpacing/>
        <w:rPr>
          <w:color w:val="808080" w:themeColor="background1" w:themeShade="80"/>
        </w:rPr>
      </w:pPr>
      <w:r w:rsidRPr="00927CE3">
        <w:rPr>
          <w:b/>
          <w:bCs/>
          <w:color w:val="808080" w:themeColor="background1" w:themeShade="80"/>
        </w:rPr>
        <w:t xml:space="preserve">1. </w:t>
      </w:r>
      <w:r w:rsidRPr="00927CE3">
        <w:rPr>
          <w:b/>
          <w:bCs/>
          <w:color w:val="808080" w:themeColor="background1" w:themeShade="80"/>
        </w:rPr>
        <w:tab/>
      </w:r>
      <w:r w:rsidRPr="00927CE3">
        <w:rPr>
          <w:color w:val="808080" w:themeColor="background1" w:themeShade="80"/>
        </w:rPr>
        <w:t xml:space="preserve">The club advisor stipend is for time spent with students outside the workload defined in Article 4. </w:t>
      </w:r>
    </w:p>
    <w:p w:rsidR="00DF0505" w:rsidRPr="00927CE3" w:rsidRDefault="00DF0505" w:rsidP="00937E5B">
      <w:pPr>
        <w:ind w:left="1440" w:hanging="720"/>
        <w:contextualSpacing/>
        <w:rPr>
          <w:color w:val="808080" w:themeColor="background1" w:themeShade="80"/>
        </w:rPr>
      </w:pPr>
      <w:r w:rsidRPr="00927CE3">
        <w:rPr>
          <w:b/>
          <w:bCs/>
          <w:color w:val="808080" w:themeColor="background1" w:themeShade="80"/>
        </w:rPr>
        <w:t>2.</w:t>
      </w:r>
      <w:r w:rsidRPr="00927CE3">
        <w:rPr>
          <w:color w:val="808080" w:themeColor="background1" w:themeShade="80"/>
        </w:rPr>
        <w:tab/>
        <w:t>Individuals receiving stipends for activity advising shall meet periodically with the Vice President of Student Services or her/his designee.</w:t>
      </w:r>
    </w:p>
    <w:p w:rsidR="00DF0505" w:rsidRPr="00927CE3" w:rsidRDefault="00DF0505" w:rsidP="00937E5B">
      <w:pPr>
        <w:ind w:left="1440" w:hanging="720"/>
        <w:contextualSpacing/>
        <w:rPr>
          <w:color w:val="808080" w:themeColor="background1" w:themeShade="80"/>
        </w:rPr>
      </w:pPr>
      <w:r w:rsidRPr="00927CE3">
        <w:rPr>
          <w:b/>
          <w:bCs/>
          <w:color w:val="808080" w:themeColor="background1" w:themeShade="80"/>
        </w:rPr>
        <w:t>3.</w:t>
      </w:r>
      <w:r w:rsidRPr="00927CE3">
        <w:rPr>
          <w:color w:val="808080" w:themeColor="background1" w:themeShade="80"/>
        </w:rPr>
        <w:tab/>
        <w:t xml:space="preserve">An activity is an approved special event which allows for college-wide or district-wide participation. </w:t>
      </w:r>
    </w:p>
    <w:p w:rsidR="00DF0505" w:rsidRPr="00927CE3" w:rsidRDefault="00DF0505" w:rsidP="00937E5B">
      <w:pPr>
        <w:ind w:left="1440" w:hanging="720"/>
        <w:contextualSpacing/>
        <w:rPr>
          <w:color w:val="808080" w:themeColor="background1" w:themeShade="80"/>
        </w:rPr>
      </w:pPr>
      <w:r w:rsidRPr="00927CE3">
        <w:rPr>
          <w:b/>
          <w:bCs/>
          <w:color w:val="808080" w:themeColor="background1" w:themeShade="80"/>
        </w:rPr>
        <w:t xml:space="preserve">4. </w:t>
      </w:r>
      <w:r w:rsidRPr="00927CE3">
        <w:rPr>
          <w:b/>
          <w:bCs/>
          <w:color w:val="808080" w:themeColor="background1" w:themeShade="80"/>
        </w:rPr>
        <w:tab/>
      </w:r>
      <w:r w:rsidRPr="00927CE3">
        <w:rPr>
          <w:color w:val="808080" w:themeColor="background1" w:themeShade="80"/>
        </w:rPr>
        <w:t xml:space="preserve">A special factor must be approved by the college president </w:t>
      </w:r>
      <w:r w:rsidRPr="00927CE3">
        <w:rPr>
          <w:strike/>
          <w:color w:val="808080" w:themeColor="background1" w:themeShade="80"/>
        </w:rPr>
        <w:t>or IEL CEO</w:t>
      </w:r>
      <w:r w:rsidRPr="00927CE3">
        <w:rPr>
          <w:color w:val="808080" w:themeColor="background1" w:themeShade="80"/>
        </w:rPr>
        <w:t xml:space="preserve"> or her/his designee. </w:t>
      </w:r>
    </w:p>
    <w:p w:rsidR="00DF0505" w:rsidRPr="00927CE3" w:rsidRDefault="00DF0505" w:rsidP="00937E5B">
      <w:pPr>
        <w:ind w:left="1440" w:hanging="720"/>
        <w:contextualSpacing/>
        <w:rPr>
          <w:color w:val="808080" w:themeColor="background1" w:themeShade="80"/>
        </w:rPr>
      </w:pPr>
      <w:r w:rsidRPr="00927CE3">
        <w:rPr>
          <w:b/>
          <w:bCs/>
          <w:color w:val="808080" w:themeColor="background1" w:themeShade="80"/>
        </w:rPr>
        <w:t>5.</w:t>
      </w:r>
      <w:r w:rsidRPr="00927CE3">
        <w:rPr>
          <w:color w:val="808080" w:themeColor="background1" w:themeShade="80"/>
        </w:rPr>
        <w:tab/>
        <w:t xml:space="preserve">The director of student activities will approve the schedule of activities for the appropriate category of remuneration. </w:t>
      </w:r>
    </w:p>
    <w:p w:rsidR="00DF0505" w:rsidRPr="00927CE3" w:rsidRDefault="00DF0505" w:rsidP="00937E5B">
      <w:pPr>
        <w:ind w:left="1440" w:hanging="720"/>
        <w:contextualSpacing/>
        <w:rPr>
          <w:color w:val="808080" w:themeColor="background1" w:themeShade="80"/>
        </w:rPr>
      </w:pPr>
      <w:r w:rsidRPr="00927CE3">
        <w:rPr>
          <w:b/>
          <w:bCs/>
          <w:color w:val="808080" w:themeColor="background1" w:themeShade="80"/>
        </w:rPr>
        <w:t xml:space="preserve">6. </w:t>
      </w:r>
      <w:r w:rsidRPr="00927CE3">
        <w:rPr>
          <w:b/>
          <w:bCs/>
          <w:color w:val="808080" w:themeColor="background1" w:themeShade="80"/>
        </w:rPr>
        <w:tab/>
      </w:r>
      <w:r w:rsidRPr="00927CE3">
        <w:rPr>
          <w:color w:val="808080" w:themeColor="background1" w:themeShade="80"/>
        </w:rPr>
        <w:t xml:space="preserve">Category placement is determined in the spring for the current year and is determined by a club’s current year’s activities and its planned activity calendar for the remainder of the year. </w:t>
      </w:r>
    </w:p>
    <w:p w:rsidR="00DF0505" w:rsidRPr="00927CE3" w:rsidRDefault="00DF0505" w:rsidP="00937E5B">
      <w:pPr>
        <w:ind w:left="1440" w:hanging="720"/>
        <w:contextualSpacing/>
        <w:rPr>
          <w:color w:val="808080" w:themeColor="background1" w:themeShade="80"/>
        </w:rPr>
      </w:pPr>
      <w:r w:rsidRPr="00927CE3">
        <w:rPr>
          <w:b/>
          <w:bCs/>
          <w:color w:val="808080" w:themeColor="background1" w:themeShade="80"/>
        </w:rPr>
        <w:t xml:space="preserve">7. </w:t>
      </w:r>
      <w:r w:rsidRPr="00927CE3">
        <w:rPr>
          <w:b/>
          <w:bCs/>
          <w:color w:val="808080" w:themeColor="background1" w:themeShade="80"/>
        </w:rPr>
        <w:tab/>
      </w:r>
      <w:r w:rsidRPr="00927CE3">
        <w:rPr>
          <w:color w:val="808080" w:themeColor="background1" w:themeShade="80"/>
        </w:rPr>
        <w:t>The director of student activities shall evaluate the advisor’s club and organization activities at the end of each school year and send the results to the Human Resources Office. The applicable stipend amount will be determined and shall be paid at the end of the academic year.</w:t>
      </w:r>
    </w:p>
    <w:p w:rsidR="00DF0505" w:rsidRPr="00927CE3" w:rsidRDefault="00DF0505" w:rsidP="00130B28">
      <w:pPr>
        <w:contextualSpacing/>
        <w:rPr>
          <w:b/>
          <w:bCs/>
          <w:color w:val="808080" w:themeColor="background1" w:themeShade="80"/>
        </w:rPr>
      </w:pPr>
    </w:p>
    <w:p w:rsidR="00DF0505" w:rsidRPr="00927CE3" w:rsidRDefault="00DF0505" w:rsidP="00937E5B">
      <w:pPr>
        <w:ind w:left="720" w:hanging="720"/>
        <w:contextualSpacing/>
        <w:rPr>
          <w:color w:val="808080" w:themeColor="background1" w:themeShade="80"/>
        </w:rPr>
      </w:pPr>
      <w:r w:rsidRPr="00927CE3">
        <w:rPr>
          <w:b/>
          <w:bCs/>
          <w:color w:val="808080" w:themeColor="background1" w:themeShade="80"/>
        </w:rPr>
        <w:t xml:space="preserve">d. </w:t>
      </w:r>
      <w:r w:rsidRPr="00927CE3">
        <w:rPr>
          <w:b/>
          <w:bCs/>
          <w:color w:val="808080" w:themeColor="background1" w:themeShade="80"/>
        </w:rPr>
        <w:tab/>
      </w:r>
      <w:r w:rsidRPr="00927CE3">
        <w:rPr>
          <w:color w:val="808080" w:themeColor="background1" w:themeShade="80"/>
        </w:rPr>
        <w:t xml:space="preserve">Advisor positions are voluntary and are not considered part of the academic employee’s assigned professional responsibilities as defined in Article 4(4).  </w:t>
      </w:r>
    </w:p>
    <w:p w:rsidR="00DF0505" w:rsidRPr="00927CE3" w:rsidRDefault="00DF0505" w:rsidP="00937E5B">
      <w:pPr>
        <w:contextualSpacing/>
        <w:rPr>
          <w:b/>
          <w:bCs/>
          <w:color w:val="808080" w:themeColor="background1" w:themeShade="80"/>
        </w:rPr>
      </w:pPr>
    </w:p>
    <w:p w:rsidR="00DF0505" w:rsidRPr="00927CE3" w:rsidRDefault="00DF0505" w:rsidP="00937E5B">
      <w:pPr>
        <w:ind w:left="720" w:hanging="720"/>
        <w:contextualSpacing/>
        <w:rPr>
          <w:color w:val="808080" w:themeColor="background1" w:themeShade="80"/>
        </w:rPr>
      </w:pPr>
      <w:r w:rsidRPr="00927CE3">
        <w:rPr>
          <w:b/>
          <w:bCs/>
          <w:color w:val="808080" w:themeColor="background1" w:themeShade="80"/>
        </w:rPr>
        <w:t>e.</w:t>
      </w:r>
      <w:r w:rsidRPr="00927CE3">
        <w:rPr>
          <w:b/>
          <w:bCs/>
          <w:color w:val="808080" w:themeColor="background1" w:themeShade="80"/>
        </w:rPr>
        <w:tab/>
      </w:r>
      <w:r w:rsidRPr="00927CE3">
        <w:rPr>
          <w:color w:val="808080" w:themeColor="background1" w:themeShade="80"/>
        </w:rPr>
        <w:t xml:space="preserve">The appropriate administrator (as defined in the CCS Governance Model for Services and Activities Fees) is responsible for the selection of advisors to student clubs and organizations.  On or before October 1st of each academic year, the appropriate administrator will identify advisor vacancies. Advisor positions are offered first to interested academic employees. Notice of known vacancies will be provided to the appropriate AHE vice president who will be responsible for seeking and submitting a list of interested academic employees to the appropriate administrator within ten (10) working days of the request. If no list is provided within ten (10) working days, the offer will be extended to non-academic employees. If the offer is given to a non-academic employee, it shall be treated as a vacancy the ensuing year and reoffered first to academic employees. </w:t>
      </w:r>
    </w:p>
    <w:p w:rsidR="00DF0505" w:rsidRPr="00927CE3" w:rsidRDefault="00DF0505" w:rsidP="00130B28">
      <w:pPr>
        <w:pStyle w:val="ListParagraph"/>
        <w:numPr>
          <w:ilvl w:val="0"/>
          <w:numId w:val="3"/>
        </w:numPr>
        <w:rPr>
          <w:color w:val="808080" w:themeColor="background1" w:themeShade="80"/>
        </w:rPr>
      </w:pPr>
      <w:r w:rsidRPr="00927CE3">
        <w:rPr>
          <w:b/>
          <w:bCs/>
          <w:color w:val="808080" w:themeColor="background1" w:themeShade="80"/>
        </w:rPr>
        <w:t xml:space="preserve">Mid-year vacancies – </w:t>
      </w:r>
      <w:r w:rsidRPr="00927CE3">
        <w:rPr>
          <w:color w:val="808080" w:themeColor="background1" w:themeShade="80"/>
        </w:rPr>
        <w:t xml:space="preserve">In the event an advisor vacancy occurs during the academic year, the appropriate administrator will send a notice of vacancy to the appropriate AHE vice president who will have ten (10) working days from the date of notification of the vacancy to submit a list of interested academic employees to fill the vacancy. If no response is provided, the offer will be extended to non-academic employees consistent with e. above. </w:t>
      </w:r>
    </w:p>
    <w:p w:rsidR="00DF0505" w:rsidRPr="00927CE3" w:rsidRDefault="00DF0505" w:rsidP="00130B28">
      <w:pPr>
        <w:pStyle w:val="ListParagraph"/>
        <w:numPr>
          <w:ilvl w:val="0"/>
          <w:numId w:val="3"/>
        </w:numPr>
        <w:rPr>
          <w:color w:val="808080" w:themeColor="background1" w:themeShade="80"/>
        </w:rPr>
      </w:pPr>
      <w:r w:rsidRPr="00927CE3">
        <w:rPr>
          <w:b/>
          <w:bCs/>
          <w:color w:val="808080" w:themeColor="background1" w:themeShade="80"/>
        </w:rPr>
        <w:t xml:space="preserve">Student complaints — </w:t>
      </w:r>
      <w:r w:rsidRPr="00927CE3">
        <w:rPr>
          <w:color w:val="808080" w:themeColor="background1" w:themeShade="80"/>
        </w:rPr>
        <w:t xml:space="preserve">Student complaints regarding an advisor shall be processed by the student complaint process (Article 11) with the exception that complaints should be processed through the appropriate administrator of student funded programs. Complaints not resolved at this level should be forwarded to the appropriate chief student services officer. </w:t>
      </w:r>
    </w:p>
    <w:p w:rsidR="00DF0505" w:rsidRPr="00927CE3" w:rsidRDefault="00DF0505" w:rsidP="00130B28">
      <w:pPr>
        <w:pStyle w:val="ListParagraph"/>
        <w:numPr>
          <w:ilvl w:val="0"/>
          <w:numId w:val="3"/>
        </w:numPr>
        <w:rPr>
          <w:color w:val="808080" w:themeColor="background1" w:themeShade="80"/>
        </w:rPr>
      </w:pPr>
      <w:r w:rsidRPr="00927CE3">
        <w:rPr>
          <w:b/>
          <w:bCs/>
          <w:color w:val="808080" w:themeColor="background1" w:themeShade="80"/>
        </w:rPr>
        <w:t xml:space="preserve">Advisor removal – </w:t>
      </w:r>
      <w:r w:rsidRPr="00927CE3">
        <w:rPr>
          <w:color w:val="808080" w:themeColor="background1" w:themeShade="80"/>
        </w:rPr>
        <w:t>An advisor may be removed from the position subject to standards established in Article 3(10).</w:t>
      </w:r>
    </w:p>
    <w:p w:rsidR="00DF0505" w:rsidRPr="00927CE3" w:rsidRDefault="00DF0505" w:rsidP="00130B28">
      <w:pPr>
        <w:contextualSpacing/>
        <w:rPr>
          <w:b/>
          <w:bCs/>
          <w:color w:val="808080" w:themeColor="background1" w:themeShade="80"/>
        </w:rPr>
      </w:pPr>
      <w:proofErr w:type="gramStart"/>
      <w:r w:rsidRPr="00927CE3">
        <w:rPr>
          <w:b/>
          <w:bCs/>
          <w:color w:val="808080" w:themeColor="background1" w:themeShade="80"/>
        </w:rPr>
        <w:t>Section 6.</w:t>
      </w:r>
      <w:proofErr w:type="gramEnd"/>
      <w:r w:rsidRPr="00927CE3">
        <w:rPr>
          <w:b/>
          <w:bCs/>
          <w:color w:val="808080" w:themeColor="background1" w:themeShade="80"/>
        </w:rPr>
        <w:t xml:space="preserve"> </w:t>
      </w:r>
      <w:r w:rsidRPr="00927CE3">
        <w:rPr>
          <w:b/>
          <w:bCs/>
          <w:color w:val="808080" w:themeColor="background1" w:themeShade="80"/>
        </w:rPr>
        <w:tab/>
        <w:t>Stipends for Coaches and Assistants</w:t>
      </w:r>
    </w:p>
    <w:p w:rsidR="00DF0505" w:rsidRPr="0077342B" w:rsidRDefault="00DF0505" w:rsidP="007F7E87">
      <w:pPr>
        <w:spacing w:after="0" w:line="240" w:lineRule="auto"/>
        <w:contextualSpacing/>
        <w:rPr>
          <w:b/>
          <w:bCs/>
        </w:rPr>
      </w:pPr>
    </w:p>
    <w:tbl>
      <w:tblPr>
        <w:tblStyle w:val="TableGrid"/>
        <w:tblW w:w="0" w:type="auto"/>
        <w:tblLook w:val="00A0" w:firstRow="1" w:lastRow="0" w:firstColumn="1" w:lastColumn="0" w:noHBand="0" w:noVBand="0"/>
      </w:tblPr>
      <w:tblGrid>
        <w:gridCol w:w="4248"/>
        <w:gridCol w:w="2328"/>
        <w:gridCol w:w="3288"/>
      </w:tblGrid>
      <w:tr w:rsidR="00DF0505" w:rsidRPr="0077342B">
        <w:trPr>
          <w:trHeight w:val="537"/>
        </w:trPr>
        <w:tc>
          <w:tcPr>
            <w:tcW w:w="4248" w:type="dxa"/>
            <w:shd w:val="clear" w:color="auto" w:fill="DDD9C3"/>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Positions:  Group 1— Head Coaches</w:t>
            </w:r>
          </w:p>
        </w:tc>
        <w:tc>
          <w:tcPr>
            <w:tcW w:w="2328" w:type="dxa"/>
            <w:shd w:val="clear" w:color="auto" w:fill="DDD9C3"/>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Men/Women Teams</w:t>
            </w:r>
          </w:p>
        </w:tc>
        <w:tc>
          <w:tcPr>
            <w:tcW w:w="3288" w:type="dxa"/>
            <w:shd w:val="clear" w:color="auto" w:fill="DDD9C3"/>
            <w:vAlign w:val="center"/>
          </w:tcPr>
          <w:p w:rsidR="00DF0505" w:rsidRPr="0077342B" w:rsidRDefault="00DF0505" w:rsidP="00224CA8">
            <w:pPr>
              <w:spacing w:after="0" w:line="240" w:lineRule="auto"/>
              <w:contextualSpacing/>
              <w:jc w:val="center"/>
              <w:rPr>
                <w:bCs/>
              </w:rPr>
            </w:pPr>
            <w:r w:rsidRPr="0077342B">
              <w:rPr>
                <w:bCs/>
              </w:rPr>
              <w:t xml:space="preserve">Annual Stipend Effective Fall </w:t>
            </w:r>
            <w:r w:rsidR="00927CE3" w:rsidRPr="00927CE3">
              <w:rPr>
                <w:bCs/>
                <w:color w:val="984806" w:themeColor="accent6" w:themeShade="80"/>
              </w:rPr>
              <w:t xml:space="preserve">’15 </w:t>
            </w:r>
            <w:r w:rsidRPr="00927CE3">
              <w:rPr>
                <w:bCs/>
                <w:strike/>
              </w:rPr>
              <w:t>09</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color w:val="808080" w:themeColor="background1" w:themeShade="80"/>
              </w:rPr>
              <w:t xml:space="preserve">Basketball </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M,W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$8,000</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color w:val="808080" w:themeColor="background1" w:themeShade="80"/>
              </w:rPr>
              <w:t xml:space="preserve">Baseball </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M</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$8,000</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color w:val="808080" w:themeColor="background1" w:themeShade="80"/>
              </w:rPr>
              <w:t xml:space="preserve">Track </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M,W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$8,000</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color w:val="808080" w:themeColor="background1" w:themeShade="80"/>
              </w:rPr>
            </w:pPr>
            <w:r w:rsidRPr="00927CE3">
              <w:rPr>
                <w:color w:val="808080" w:themeColor="background1" w:themeShade="80"/>
              </w:rPr>
              <w:t>Soccer</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M,W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$8,000</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color w:val="808080" w:themeColor="background1" w:themeShade="80"/>
              </w:rPr>
              <w:t xml:space="preserve">Volleyball </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$8,000</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color w:val="808080" w:themeColor="background1" w:themeShade="80"/>
              </w:rPr>
              <w:t xml:space="preserve">Softball </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$8,000</w:t>
            </w:r>
          </w:p>
        </w:tc>
      </w:tr>
      <w:tr w:rsidR="00DF0505" w:rsidRPr="0077342B">
        <w:trPr>
          <w:trHeight w:val="538"/>
        </w:trPr>
        <w:tc>
          <w:tcPr>
            <w:tcW w:w="4248" w:type="dxa"/>
            <w:vAlign w:val="center"/>
          </w:tcPr>
          <w:p w:rsidR="00DF0505" w:rsidRPr="00927CE3" w:rsidRDefault="00DF0505" w:rsidP="007F7E87">
            <w:pPr>
              <w:spacing w:after="0" w:line="240" w:lineRule="auto"/>
              <w:contextualSpacing/>
              <w:rPr>
                <w:color w:val="808080" w:themeColor="background1" w:themeShade="80"/>
              </w:rPr>
            </w:pPr>
            <w:r w:rsidRPr="00927CE3">
              <w:rPr>
                <w:color w:val="808080" w:themeColor="background1" w:themeShade="80"/>
              </w:rPr>
              <w:t xml:space="preserve">Strength/Conditioning </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M,W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color w:val="808080" w:themeColor="background1" w:themeShade="80"/>
              </w:rPr>
              <w:t>$8,000</w:t>
            </w:r>
          </w:p>
        </w:tc>
      </w:tr>
      <w:tr w:rsidR="00DF0505" w:rsidRPr="0077342B">
        <w:trPr>
          <w:trHeight w:val="537"/>
        </w:trPr>
        <w:tc>
          <w:tcPr>
            <w:tcW w:w="4248" w:type="dxa"/>
            <w:shd w:val="clear" w:color="auto" w:fill="DDD9C3"/>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Positions:  Group 2— Head Coaches</w:t>
            </w:r>
          </w:p>
        </w:tc>
        <w:tc>
          <w:tcPr>
            <w:tcW w:w="2328" w:type="dxa"/>
            <w:shd w:val="clear" w:color="auto" w:fill="DDD9C3"/>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Men/Women Teams</w:t>
            </w:r>
          </w:p>
        </w:tc>
        <w:tc>
          <w:tcPr>
            <w:tcW w:w="3288" w:type="dxa"/>
            <w:shd w:val="clear" w:color="auto" w:fill="DDD9C3"/>
            <w:vAlign w:val="center"/>
          </w:tcPr>
          <w:p w:rsidR="00DF0505" w:rsidRPr="0077342B" w:rsidRDefault="00DF0505" w:rsidP="00224CA8">
            <w:pPr>
              <w:spacing w:after="0" w:line="240" w:lineRule="auto"/>
              <w:contextualSpacing/>
              <w:jc w:val="center"/>
              <w:rPr>
                <w:bCs/>
              </w:rPr>
            </w:pPr>
            <w:r w:rsidRPr="0077342B">
              <w:rPr>
                <w:bCs/>
              </w:rPr>
              <w:t xml:space="preserve">Annual Stipend Effective Fall </w:t>
            </w:r>
            <w:r w:rsidR="00927CE3" w:rsidRPr="00927CE3">
              <w:rPr>
                <w:bCs/>
                <w:color w:val="984806" w:themeColor="accent6" w:themeShade="80"/>
              </w:rPr>
              <w:t>’15</w:t>
            </w:r>
            <w:r w:rsidR="00927CE3">
              <w:rPr>
                <w:bCs/>
              </w:rPr>
              <w:t xml:space="preserve"> </w:t>
            </w:r>
            <w:r w:rsidRPr="00927CE3">
              <w:rPr>
                <w:bCs/>
                <w:strike/>
              </w:rPr>
              <w:t>09</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Cross Country</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$5,000</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Tennis</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$5,000</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Golf</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$5,000</w:t>
            </w:r>
          </w:p>
        </w:tc>
      </w:tr>
      <w:tr w:rsidR="00DF0505" w:rsidRPr="0077342B">
        <w:trPr>
          <w:trHeight w:val="537"/>
        </w:trPr>
        <w:tc>
          <w:tcPr>
            <w:tcW w:w="4248" w:type="dxa"/>
            <w:shd w:val="clear" w:color="auto" w:fill="DDD9C3"/>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Positions:  Group 3— Assistant Coaches</w:t>
            </w:r>
          </w:p>
        </w:tc>
        <w:tc>
          <w:tcPr>
            <w:tcW w:w="2328" w:type="dxa"/>
            <w:shd w:val="clear" w:color="auto" w:fill="DDD9C3"/>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Men/Women Teams</w:t>
            </w:r>
          </w:p>
        </w:tc>
        <w:tc>
          <w:tcPr>
            <w:tcW w:w="3288" w:type="dxa"/>
            <w:shd w:val="clear" w:color="auto" w:fill="DDD9C3"/>
            <w:vAlign w:val="center"/>
          </w:tcPr>
          <w:p w:rsidR="00DF0505" w:rsidRPr="0077342B" w:rsidRDefault="00DF0505" w:rsidP="00224CA8">
            <w:pPr>
              <w:spacing w:after="0" w:line="240" w:lineRule="auto"/>
              <w:contextualSpacing/>
              <w:jc w:val="center"/>
              <w:rPr>
                <w:bCs/>
              </w:rPr>
            </w:pPr>
            <w:r w:rsidRPr="0077342B">
              <w:rPr>
                <w:bCs/>
              </w:rPr>
              <w:t xml:space="preserve">Annual Stipend Effective Fall </w:t>
            </w:r>
            <w:r w:rsidR="00927CE3" w:rsidRPr="00927CE3">
              <w:rPr>
                <w:bCs/>
                <w:color w:val="984806" w:themeColor="accent6" w:themeShade="80"/>
              </w:rPr>
              <w:t>’15</w:t>
            </w:r>
            <w:r w:rsidR="00927CE3">
              <w:rPr>
                <w:bCs/>
              </w:rPr>
              <w:t xml:space="preserve"> </w:t>
            </w:r>
            <w:r w:rsidRPr="00927CE3">
              <w:rPr>
                <w:bCs/>
                <w:strike/>
              </w:rPr>
              <w:t>09</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Volleyball</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W</w:t>
            </w:r>
          </w:p>
        </w:tc>
        <w:tc>
          <w:tcPr>
            <w:tcW w:w="328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$3,500</w:t>
            </w:r>
          </w:p>
        </w:tc>
      </w:tr>
      <w:tr w:rsidR="00DF0505" w:rsidRPr="0077342B">
        <w:trPr>
          <w:trHeight w:val="537"/>
        </w:trPr>
        <w:tc>
          <w:tcPr>
            <w:tcW w:w="4248" w:type="dxa"/>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Baseball</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t>
            </w:r>
          </w:p>
        </w:tc>
        <w:tc>
          <w:tcPr>
            <w:tcW w:w="3288" w:type="dxa"/>
            <w:vAlign w:val="center"/>
          </w:tcPr>
          <w:p w:rsidR="00DF0505" w:rsidRPr="00927CE3" w:rsidRDefault="00DF0505" w:rsidP="00224CA8">
            <w:pPr>
              <w:spacing w:after="0" w:line="240" w:lineRule="auto"/>
              <w:jc w:val="center"/>
              <w:rPr>
                <w:color w:val="808080" w:themeColor="background1" w:themeShade="80"/>
              </w:rPr>
            </w:pPr>
            <w:r w:rsidRPr="00927CE3">
              <w:rPr>
                <w:color w:val="808080" w:themeColor="background1" w:themeShade="80"/>
              </w:rPr>
              <w:t>$3,500</w:t>
            </w:r>
          </w:p>
        </w:tc>
      </w:tr>
      <w:tr w:rsidR="00DF0505" w:rsidRPr="0077342B">
        <w:trPr>
          <w:trHeight w:val="538"/>
        </w:trPr>
        <w:tc>
          <w:tcPr>
            <w:tcW w:w="4248" w:type="dxa"/>
            <w:vAlign w:val="center"/>
          </w:tcPr>
          <w:p w:rsidR="00DF0505" w:rsidRPr="00927CE3" w:rsidRDefault="00DF0505" w:rsidP="007F7E87">
            <w:pPr>
              <w:spacing w:after="0" w:line="240" w:lineRule="auto"/>
              <w:contextualSpacing/>
              <w:rPr>
                <w:color w:val="808080" w:themeColor="background1" w:themeShade="80"/>
              </w:rPr>
            </w:pPr>
            <w:r w:rsidRPr="00927CE3">
              <w:rPr>
                <w:color w:val="808080" w:themeColor="background1" w:themeShade="80"/>
              </w:rPr>
              <w:t>Soccer</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vAlign w:val="center"/>
          </w:tcPr>
          <w:p w:rsidR="00DF0505" w:rsidRPr="00927CE3" w:rsidRDefault="00DF0505" w:rsidP="00224CA8">
            <w:pPr>
              <w:spacing w:after="0" w:line="240" w:lineRule="auto"/>
              <w:jc w:val="center"/>
              <w:rPr>
                <w:color w:val="808080" w:themeColor="background1" w:themeShade="80"/>
              </w:rPr>
            </w:pPr>
            <w:r w:rsidRPr="00927CE3">
              <w:rPr>
                <w:color w:val="808080" w:themeColor="background1" w:themeShade="80"/>
              </w:rPr>
              <w:t>$3,500</w:t>
            </w:r>
          </w:p>
        </w:tc>
      </w:tr>
      <w:tr w:rsidR="00DF0505" w:rsidRPr="0077342B">
        <w:trPr>
          <w:trHeight w:val="538"/>
        </w:trPr>
        <w:tc>
          <w:tcPr>
            <w:tcW w:w="4248" w:type="dxa"/>
            <w:vAlign w:val="center"/>
          </w:tcPr>
          <w:p w:rsidR="00DF0505" w:rsidRPr="00927CE3" w:rsidRDefault="00DF0505" w:rsidP="007F7E87">
            <w:pPr>
              <w:spacing w:after="0" w:line="240" w:lineRule="auto"/>
              <w:contextualSpacing/>
              <w:rPr>
                <w:color w:val="808080" w:themeColor="background1" w:themeShade="80"/>
              </w:rPr>
            </w:pPr>
            <w:r w:rsidRPr="00927CE3">
              <w:rPr>
                <w:color w:val="808080" w:themeColor="background1" w:themeShade="80"/>
              </w:rPr>
              <w:t>Track</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vAlign w:val="center"/>
          </w:tcPr>
          <w:p w:rsidR="00DF0505" w:rsidRPr="00927CE3" w:rsidRDefault="00DF0505" w:rsidP="00224CA8">
            <w:pPr>
              <w:spacing w:after="0" w:line="240" w:lineRule="auto"/>
              <w:jc w:val="center"/>
              <w:rPr>
                <w:color w:val="808080" w:themeColor="background1" w:themeShade="80"/>
              </w:rPr>
            </w:pPr>
            <w:r w:rsidRPr="00927CE3">
              <w:rPr>
                <w:color w:val="808080" w:themeColor="background1" w:themeShade="80"/>
              </w:rPr>
              <w:t>$3,500</w:t>
            </w:r>
          </w:p>
        </w:tc>
      </w:tr>
      <w:tr w:rsidR="00DF0505" w:rsidRPr="0077342B">
        <w:trPr>
          <w:trHeight w:val="538"/>
        </w:trPr>
        <w:tc>
          <w:tcPr>
            <w:tcW w:w="4248" w:type="dxa"/>
            <w:vAlign w:val="center"/>
          </w:tcPr>
          <w:p w:rsidR="00DF0505" w:rsidRPr="00927CE3" w:rsidRDefault="00DF0505" w:rsidP="007F7E87">
            <w:pPr>
              <w:spacing w:after="0" w:line="240" w:lineRule="auto"/>
              <w:contextualSpacing/>
              <w:rPr>
                <w:color w:val="808080" w:themeColor="background1" w:themeShade="80"/>
              </w:rPr>
            </w:pPr>
            <w:r w:rsidRPr="00927CE3">
              <w:rPr>
                <w:color w:val="808080" w:themeColor="background1" w:themeShade="80"/>
              </w:rPr>
              <w:t>Softball</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W</w:t>
            </w:r>
          </w:p>
        </w:tc>
        <w:tc>
          <w:tcPr>
            <w:tcW w:w="3288" w:type="dxa"/>
            <w:vAlign w:val="center"/>
          </w:tcPr>
          <w:p w:rsidR="00DF0505" w:rsidRPr="00927CE3" w:rsidRDefault="00DF0505" w:rsidP="00224CA8">
            <w:pPr>
              <w:spacing w:after="0" w:line="240" w:lineRule="auto"/>
              <w:jc w:val="center"/>
              <w:rPr>
                <w:color w:val="808080" w:themeColor="background1" w:themeShade="80"/>
              </w:rPr>
            </w:pPr>
            <w:r w:rsidRPr="00927CE3">
              <w:rPr>
                <w:color w:val="808080" w:themeColor="background1" w:themeShade="80"/>
              </w:rPr>
              <w:t>$3,500</w:t>
            </w:r>
          </w:p>
        </w:tc>
      </w:tr>
      <w:tr w:rsidR="00DF0505" w:rsidRPr="0077342B">
        <w:trPr>
          <w:trHeight w:val="538"/>
        </w:trPr>
        <w:tc>
          <w:tcPr>
            <w:tcW w:w="4248" w:type="dxa"/>
            <w:vAlign w:val="center"/>
          </w:tcPr>
          <w:p w:rsidR="00DF0505" w:rsidRPr="00927CE3" w:rsidRDefault="00DF0505" w:rsidP="007F7E87">
            <w:pPr>
              <w:spacing w:after="0" w:line="240" w:lineRule="auto"/>
              <w:contextualSpacing/>
              <w:rPr>
                <w:color w:val="808080" w:themeColor="background1" w:themeShade="80"/>
              </w:rPr>
            </w:pPr>
            <w:r w:rsidRPr="00927CE3">
              <w:rPr>
                <w:color w:val="808080" w:themeColor="background1" w:themeShade="80"/>
              </w:rPr>
              <w:t>Basketball</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vAlign w:val="center"/>
          </w:tcPr>
          <w:p w:rsidR="00DF0505" w:rsidRPr="00927CE3" w:rsidRDefault="00DF0505" w:rsidP="00224CA8">
            <w:pPr>
              <w:spacing w:after="0" w:line="240" w:lineRule="auto"/>
              <w:jc w:val="center"/>
              <w:rPr>
                <w:color w:val="808080" w:themeColor="background1" w:themeShade="80"/>
              </w:rPr>
            </w:pPr>
            <w:r w:rsidRPr="00927CE3">
              <w:rPr>
                <w:color w:val="808080" w:themeColor="background1" w:themeShade="80"/>
              </w:rPr>
              <w:t>$3,500</w:t>
            </w:r>
          </w:p>
        </w:tc>
      </w:tr>
      <w:tr w:rsidR="00DF0505" w:rsidRPr="0077342B">
        <w:trPr>
          <w:trHeight w:val="538"/>
        </w:trPr>
        <w:tc>
          <w:tcPr>
            <w:tcW w:w="4248" w:type="dxa"/>
            <w:vAlign w:val="center"/>
          </w:tcPr>
          <w:p w:rsidR="00DF0505" w:rsidRPr="00927CE3" w:rsidRDefault="00DF0505" w:rsidP="007F7E87">
            <w:pPr>
              <w:spacing w:after="0" w:line="240" w:lineRule="auto"/>
              <w:contextualSpacing/>
              <w:rPr>
                <w:color w:val="808080" w:themeColor="background1" w:themeShade="80"/>
              </w:rPr>
            </w:pPr>
            <w:r w:rsidRPr="00927CE3">
              <w:rPr>
                <w:color w:val="808080" w:themeColor="background1" w:themeShade="80"/>
              </w:rPr>
              <w:t>Strength/Conditioning</w:t>
            </w:r>
          </w:p>
        </w:tc>
        <w:tc>
          <w:tcPr>
            <w:tcW w:w="2328" w:type="dxa"/>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vAlign w:val="center"/>
          </w:tcPr>
          <w:p w:rsidR="00DF0505" w:rsidRPr="00927CE3" w:rsidRDefault="00DF0505" w:rsidP="00224CA8">
            <w:pPr>
              <w:spacing w:after="0" w:line="240" w:lineRule="auto"/>
              <w:jc w:val="center"/>
              <w:rPr>
                <w:color w:val="808080" w:themeColor="background1" w:themeShade="80"/>
              </w:rPr>
            </w:pPr>
            <w:r w:rsidRPr="00927CE3">
              <w:rPr>
                <w:color w:val="808080" w:themeColor="background1" w:themeShade="80"/>
              </w:rPr>
              <w:t>$3,500</w:t>
            </w:r>
          </w:p>
        </w:tc>
      </w:tr>
      <w:tr w:rsidR="00DF0505" w:rsidRPr="0077342B">
        <w:trPr>
          <w:trHeight w:val="538"/>
        </w:trPr>
        <w:tc>
          <w:tcPr>
            <w:tcW w:w="4248" w:type="dxa"/>
            <w:shd w:val="clear" w:color="auto" w:fill="DDD9C3"/>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Positions:  Group 4— Assistant Coaches</w:t>
            </w:r>
          </w:p>
        </w:tc>
        <w:tc>
          <w:tcPr>
            <w:tcW w:w="2328" w:type="dxa"/>
            <w:shd w:val="clear" w:color="auto" w:fill="DDD9C3"/>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Men/Women Teams</w:t>
            </w:r>
          </w:p>
        </w:tc>
        <w:tc>
          <w:tcPr>
            <w:tcW w:w="3288" w:type="dxa"/>
            <w:shd w:val="clear" w:color="auto" w:fill="DDD9C3"/>
            <w:vAlign w:val="center"/>
          </w:tcPr>
          <w:p w:rsidR="00DF0505" w:rsidRPr="0077342B" w:rsidRDefault="00DF0505" w:rsidP="00224CA8">
            <w:pPr>
              <w:spacing w:after="0" w:line="240" w:lineRule="auto"/>
              <w:contextualSpacing/>
              <w:jc w:val="center"/>
              <w:rPr>
                <w:bCs/>
              </w:rPr>
            </w:pPr>
            <w:r w:rsidRPr="0077342B">
              <w:rPr>
                <w:bCs/>
              </w:rPr>
              <w:t xml:space="preserve">Annual Stipend Effective Fall </w:t>
            </w:r>
            <w:r w:rsidR="00927CE3" w:rsidRPr="00927CE3">
              <w:rPr>
                <w:bCs/>
                <w:color w:val="984806" w:themeColor="accent6" w:themeShade="80"/>
              </w:rPr>
              <w:t>’15</w:t>
            </w:r>
            <w:r w:rsidR="00927CE3">
              <w:rPr>
                <w:bCs/>
              </w:rPr>
              <w:t xml:space="preserve"> </w:t>
            </w:r>
            <w:r w:rsidRPr="00927CE3">
              <w:rPr>
                <w:bCs/>
                <w:strike/>
              </w:rPr>
              <w:t>09</w:t>
            </w:r>
          </w:p>
        </w:tc>
      </w:tr>
      <w:tr w:rsidR="00DF0505" w:rsidRPr="0077342B">
        <w:trPr>
          <w:trHeight w:val="538"/>
        </w:trPr>
        <w:tc>
          <w:tcPr>
            <w:tcW w:w="4248" w:type="dxa"/>
            <w:shd w:val="clear" w:color="auto" w:fill="FFFFFF"/>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Cross Country</w:t>
            </w:r>
          </w:p>
        </w:tc>
        <w:tc>
          <w:tcPr>
            <w:tcW w:w="232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W</w:t>
            </w:r>
          </w:p>
        </w:tc>
        <w:tc>
          <w:tcPr>
            <w:tcW w:w="328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$2,750</w:t>
            </w:r>
          </w:p>
        </w:tc>
      </w:tr>
      <w:tr w:rsidR="00DF0505" w:rsidRPr="0077342B">
        <w:trPr>
          <w:trHeight w:val="538"/>
        </w:trPr>
        <w:tc>
          <w:tcPr>
            <w:tcW w:w="4248" w:type="dxa"/>
            <w:shd w:val="clear" w:color="auto" w:fill="FFFFFF"/>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Golf</w:t>
            </w:r>
          </w:p>
        </w:tc>
        <w:tc>
          <w:tcPr>
            <w:tcW w:w="232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$2,750</w:t>
            </w:r>
          </w:p>
        </w:tc>
      </w:tr>
      <w:tr w:rsidR="00DF0505" w:rsidRPr="0077342B">
        <w:trPr>
          <w:trHeight w:val="538"/>
        </w:trPr>
        <w:tc>
          <w:tcPr>
            <w:tcW w:w="4248" w:type="dxa"/>
            <w:shd w:val="clear" w:color="auto" w:fill="FFFFFF"/>
            <w:vAlign w:val="center"/>
          </w:tcPr>
          <w:p w:rsidR="00DF0505" w:rsidRPr="00927CE3" w:rsidRDefault="00DF0505" w:rsidP="007F7E87">
            <w:pPr>
              <w:spacing w:after="0" w:line="240" w:lineRule="auto"/>
              <w:contextualSpacing/>
              <w:rPr>
                <w:bCs/>
                <w:color w:val="808080" w:themeColor="background1" w:themeShade="80"/>
              </w:rPr>
            </w:pPr>
            <w:r w:rsidRPr="00927CE3">
              <w:rPr>
                <w:bCs/>
                <w:color w:val="808080" w:themeColor="background1" w:themeShade="80"/>
              </w:rPr>
              <w:t>Tennis</w:t>
            </w:r>
          </w:p>
        </w:tc>
        <w:tc>
          <w:tcPr>
            <w:tcW w:w="232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$2,750</w:t>
            </w:r>
          </w:p>
        </w:tc>
      </w:tr>
      <w:tr w:rsidR="00DF0505" w:rsidRPr="0077342B">
        <w:trPr>
          <w:trHeight w:val="538"/>
        </w:trPr>
        <w:tc>
          <w:tcPr>
            <w:tcW w:w="4248" w:type="dxa"/>
            <w:shd w:val="clear" w:color="auto" w:fill="DDD9C3"/>
            <w:vAlign w:val="center"/>
          </w:tcPr>
          <w:p w:rsidR="00DF0505" w:rsidRPr="00927CE3" w:rsidRDefault="00DF0505" w:rsidP="00C6057D">
            <w:pPr>
              <w:spacing w:after="0" w:line="240" w:lineRule="auto"/>
              <w:contextualSpacing/>
              <w:rPr>
                <w:bCs/>
                <w:color w:val="808080" w:themeColor="background1" w:themeShade="80"/>
              </w:rPr>
            </w:pPr>
            <w:r w:rsidRPr="00927CE3">
              <w:rPr>
                <w:bCs/>
                <w:color w:val="808080" w:themeColor="background1" w:themeShade="80"/>
              </w:rPr>
              <w:t>Positions:  Group 5— Head Coaches</w:t>
            </w:r>
          </w:p>
        </w:tc>
        <w:tc>
          <w:tcPr>
            <w:tcW w:w="2328" w:type="dxa"/>
            <w:shd w:val="clear" w:color="auto" w:fill="DDD9C3"/>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Men/Women Teams</w:t>
            </w:r>
          </w:p>
        </w:tc>
        <w:tc>
          <w:tcPr>
            <w:tcW w:w="3288" w:type="dxa"/>
            <w:shd w:val="clear" w:color="auto" w:fill="DDD9C3"/>
            <w:vAlign w:val="center"/>
          </w:tcPr>
          <w:p w:rsidR="00DF0505" w:rsidRPr="0077342B" w:rsidRDefault="00DF0505" w:rsidP="00224CA8">
            <w:pPr>
              <w:spacing w:after="0" w:line="240" w:lineRule="auto"/>
              <w:contextualSpacing/>
              <w:jc w:val="center"/>
              <w:rPr>
                <w:bCs/>
              </w:rPr>
            </w:pPr>
            <w:r w:rsidRPr="0077342B">
              <w:rPr>
                <w:bCs/>
              </w:rPr>
              <w:t xml:space="preserve">Annual Stipend Effective Fall </w:t>
            </w:r>
            <w:r w:rsidR="00927CE3" w:rsidRPr="00927CE3">
              <w:rPr>
                <w:bCs/>
                <w:color w:val="984806" w:themeColor="accent6" w:themeShade="80"/>
              </w:rPr>
              <w:t>’15</w:t>
            </w:r>
            <w:r w:rsidR="00927CE3">
              <w:rPr>
                <w:bCs/>
              </w:rPr>
              <w:t xml:space="preserve"> </w:t>
            </w:r>
            <w:r w:rsidRPr="00927CE3">
              <w:rPr>
                <w:bCs/>
                <w:strike/>
              </w:rPr>
              <w:t>09</w:t>
            </w:r>
          </w:p>
        </w:tc>
      </w:tr>
      <w:tr w:rsidR="00DF0505" w:rsidRPr="0077342B">
        <w:trPr>
          <w:trHeight w:val="538"/>
        </w:trPr>
        <w:tc>
          <w:tcPr>
            <w:tcW w:w="4248" w:type="dxa"/>
            <w:shd w:val="clear" w:color="auto" w:fill="FFFFFF"/>
            <w:vAlign w:val="center"/>
          </w:tcPr>
          <w:p w:rsidR="00DF0505" w:rsidRPr="00927CE3" w:rsidRDefault="00DF0505" w:rsidP="00C6057D">
            <w:pPr>
              <w:spacing w:after="0" w:line="240" w:lineRule="auto"/>
              <w:contextualSpacing/>
              <w:rPr>
                <w:bCs/>
                <w:color w:val="808080" w:themeColor="background1" w:themeShade="80"/>
              </w:rPr>
            </w:pPr>
            <w:r w:rsidRPr="00927CE3">
              <w:rPr>
                <w:bCs/>
                <w:color w:val="808080" w:themeColor="background1" w:themeShade="80"/>
              </w:rPr>
              <w:t>Natural Resources</w:t>
            </w:r>
          </w:p>
        </w:tc>
        <w:tc>
          <w:tcPr>
            <w:tcW w:w="232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$2,523</w:t>
            </w:r>
          </w:p>
        </w:tc>
      </w:tr>
      <w:tr w:rsidR="00DF0505" w:rsidRPr="0077342B">
        <w:trPr>
          <w:trHeight w:val="538"/>
        </w:trPr>
        <w:tc>
          <w:tcPr>
            <w:tcW w:w="4248" w:type="dxa"/>
            <w:shd w:val="clear" w:color="auto" w:fill="FFFFFF"/>
            <w:vAlign w:val="center"/>
          </w:tcPr>
          <w:p w:rsidR="00DF0505" w:rsidRPr="00927CE3" w:rsidRDefault="00DF0505" w:rsidP="00C6057D">
            <w:pPr>
              <w:spacing w:after="0" w:line="240" w:lineRule="auto"/>
              <w:contextualSpacing/>
              <w:rPr>
                <w:bCs/>
                <w:color w:val="808080" w:themeColor="background1" w:themeShade="80"/>
              </w:rPr>
            </w:pPr>
            <w:r w:rsidRPr="00927CE3">
              <w:rPr>
                <w:bCs/>
                <w:color w:val="808080" w:themeColor="background1" w:themeShade="80"/>
              </w:rPr>
              <w:t>Rodeo</w:t>
            </w:r>
          </w:p>
        </w:tc>
        <w:tc>
          <w:tcPr>
            <w:tcW w:w="232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$2,523</w:t>
            </w:r>
          </w:p>
        </w:tc>
      </w:tr>
      <w:tr w:rsidR="00DF0505" w:rsidRPr="0077342B">
        <w:trPr>
          <w:trHeight w:val="538"/>
        </w:trPr>
        <w:tc>
          <w:tcPr>
            <w:tcW w:w="4248" w:type="dxa"/>
            <w:shd w:val="clear" w:color="auto" w:fill="DDD9C3"/>
            <w:vAlign w:val="center"/>
          </w:tcPr>
          <w:p w:rsidR="00DF0505" w:rsidRPr="00927CE3" w:rsidRDefault="00DF0505" w:rsidP="00C6057D">
            <w:pPr>
              <w:spacing w:after="0" w:line="240" w:lineRule="auto"/>
              <w:contextualSpacing/>
              <w:rPr>
                <w:bCs/>
                <w:color w:val="808080" w:themeColor="background1" w:themeShade="80"/>
              </w:rPr>
            </w:pPr>
            <w:r w:rsidRPr="00927CE3">
              <w:rPr>
                <w:bCs/>
                <w:color w:val="808080" w:themeColor="background1" w:themeShade="80"/>
              </w:rPr>
              <w:t>Positions:  Group 6 — Assistant Coaches</w:t>
            </w:r>
          </w:p>
        </w:tc>
        <w:tc>
          <w:tcPr>
            <w:tcW w:w="2328" w:type="dxa"/>
            <w:shd w:val="clear" w:color="auto" w:fill="DDD9C3"/>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Men/Women Teams</w:t>
            </w:r>
          </w:p>
        </w:tc>
        <w:tc>
          <w:tcPr>
            <w:tcW w:w="3288" w:type="dxa"/>
            <w:shd w:val="clear" w:color="auto" w:fill="DDD9C3"/>
            <w:vAlign w:val="center"/>
          </w:tcPr>
          <w:p w:rsidR="00DF0505" w:rsidRPr="0077342B" w:rsidRDefault="00DF0505" w:rsidP="00224CA8">
            <w:pPr>
              <w:spacing w:after="0" w:line="240" w:lineRule="auto"/>
              <w:contextualSpacing/>
              <w:jc w:val="center"/>
              <w:rPr>
                <w:bCs/>
              </w:rPr>
            </w:pPr>
            <w:r w:rsidRPr="0077342B">
              <w:rPr>
                <w:bCs/>
              </w:rPr>
              <w:t xml:space="preserve">Annual Stipend Effective Fall </w:t>
            </w:r>
            <w:r w:rsidR="00927CE3" w:rsidRPr="00927CE3">
              <w:rPr>
                <w:bCs/>
                <w:color w:val="984806" w:themeColor="accent6" w:themeShade="80"/>
              </w:rPr>
              <w:t>’15</w:t>
            </w:r>
            <w:r w:rsidR="00927CE3">
              <w:rPr>
                <w:bCs/>
              </w:rPr>
              <w:t xml:space="preserve"> </w:t>
            </w:r>
            <w:r w:rsidRPr="00927CE3">
              <w:rPr>
                <w:bCs/>
                <w:strike/>
              </w:rPr>
              <w:t>09</w:t>
            </w:r>
          </w:p>
        </w:tc>
      </w:tr>
      <w:tr w:rsidR="00DF0505" w:rsidRPr="0077342B">
        <w:trPr>
          <w:trHeight w:val="538"/>
        </w:trPr>
        <w:tc>
          <w:tcPr>
            <w:tcW w:w="4248" w:type="dxa"/>
            <w:shd w:val="clear" w:color="auto" w:fill="FFFFFF"/>
            <w:vAlign w:val="center"/>
          </w:tcPr>
          <w:p w:rsidR="00DF0505" w:rsidRPr="00927CE3" w:rsidRDefault="00DF0505" w:rsidP="00C6057D">
            <w:pPr>
              <w:spacing w:after="0" w:line="240" w:lineRule="auto"/>
              <w:contextualSpacing/>
              <w:rPr>
                <w:bCs/>
                <w:color w:val="808080" w:themeColor="background1" w:themeShade="80"/>
              </w:rPr>
            </w:pPr>
            <w:r w:rsidRPr="00927CE3">
              <w:rPr>
                <w:bCs/>
                <w:color w:val="808080" w:themeColor="background1" w:themeShade="80"/>
              </w:rPr>
              <w:t>Natural Resources</w:t>
            </w:r>
          </w:p>
        </w:tc>
        <w:tc>
          <w:tcPr>
            <w:tcW w:w="232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$1,638</w:t>
            </w:r>
          </w:p>
        </w:tc>
      </w:tr>
      <w:tr w:rsidR="00DF0505" w:rsidRPr="0077342B">
        <w:trPr>
          <w:trHeight w:val="538"/>
        </w:trPr>
        <w:tc>
          <w:tcPr>
            <w:tcW w:w="4248" w:type="dxa"/>
            <w:shd w:val="clear" w:color="auto" w:fill="FFFFFF"/>
            <w:vAlign w:val="center"/>
          </w:tcPr>
          <w:p w:rsidR="00DF0505" w:rsidRPr="00927CE3" w:rsidRDefault="00DF0505" w:rsidP="00C6057D">
            <w:pPr>
              <w:spacing w:after="0" w:line="240" w:lineRule="auto"/>
              <w:contextualSpacing/>
              <w:rPr>
                <w:bCs/>
                <w:color w:val="808080" w:themeColor="background1" w:themeShade="80"/>
              </w:rPr>
            </w:pPr>
            <w:r w:rsidRPr="00927CE3">
              <w:rPr>
                <w:bCs/>
                <w:color w:val="808080" w:themeColor="background1" w:themeShade="80"/>
              </w:rPr>
              <w:t>Rodeo</w:t>
            </w:r>
          </w:p>
        </w:tc>
        <w:tc>
          <w:tcPr>
            <w:tcW w:w="232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M,W</w:t>
            </w:r>
          </w:p>
        </w:tc>
        <w:tc>
          <w:tcPr>
            <w:tcW w:w="3288" w:type="dxa"/>
            <w:shd w:val="clear" w:color="auto" w:fill="FFFFFF"/>
            <w:vAlign w:val="center"/>
          </w:tcPr>
          <w:p w:rsidR="00DF0505" w:rsidRPr="00927CE3" w:rsidRDefault="00DF0505" w:rsidP="00224CA8">
            <w:pPr>
              <w:spacing w:after="0" w:line="240" w:lineRule="auto"/>
              <w:contextualSpacing/>
              <w:jc w:val="center"/>
              <w:rPr>
                <w:bCs/>
                <w:color w:val="808080" w:themeColor="background1" w:themeShade="80"/>
              </w:rPr>
            </w:pPr>
            <w:r w:rsidRPr="00927CE3">
              <w:rPr>
                <w:bCs/>
                <w:color w:val="808080" w:themeColor="background1" w:themeShade="80"/>
              </w:rPr>
              <w:t>$1,638</w:t>
            </w:r>
          </w:p>
        </w:tc>
      </w:tr>
    </w:tbl>
    <w:p w:rsidR="00DF0505" w:rsidRPr="0077342B" w:rsidRDefault="00DF0505" w:rsidP="007F7E87">
      <w:pPr>
        <w:spacing w:after="0" w:line="240" w:lineRule="auto"/>
        <w:contextualSpacing/>
        <w:rPr>
          <w:b/>
          <w:bCs/>
        </w:rPr>
      </w:pPr>
    </w:p>
    <w:p w:rsidR="00DF0505" w:rsidRPr="00927CE3" w:rsidRDefault="00DF0505" w:rsidP="00130B28">
      <w:pPr>
        <w:contextualSpacing/>
        <w:rPr>
          <w:color w:val="808080" w:themeColor="background1" w:themeShade="80"/>
        </w:rPr>
      </w:pPr>
      <w:r w:rsidRPr="00927CE3">
        <w:rPr>
          <w:color w:val="808080" w:themeColor="background1" w:themeShade="80"/>
        </w:rPr>
        <w:t>The above amounts shall be reviewed annually, beginning in fiscal year 2009-10, based upon the general salary agreement of the parties per Article 27(2).</w:t>
      </w:r>
    </w:p>
    <w:p w:rsidR="00DF0505" w:rsidRPr="00927CE3" w:rsidRDefault="00DF0505" w:rsidP="00130B28">
      <w:pPr>
        <w:contextualSpacing/>
        <w:rPr>
          <w:color w:val="808080" w:themeColor="background1" w:themeShade="80"/>
        </w:rPr>
      </w:pPr>
    </w:p>
    <w:p w:rsidR="00DF0505" w:rsidRPr="00927CE3" w:rsidRDefault="00DF0505" w:rsidP="00130B28">
      <w:pPr>
        <w:contextualSpacing/>
        <w:rPr>
          <w:color w:val="808080" w:themeColor="background1" w:themeShade="80"/>
        </w:rPr>
      </w:pPr>
      <w:r w:rsidRPr="00927CE3">
        <w:rPr>
          <w:b/>
          <w:bCs/>
          <w:color w:val="808080" w:themeColor="background1" w:themeShade="80"/>
        </w:rPr>
        <w:t>Coaching Incentives</w:t>
      </w:r>
    </w:p>
    <w:p w:rsidR="00DF0505" w:rsidRPr="00927CE3" w:rsidRDefault="00DF0505" w:rsidP="00130B28">
      <w:pPr>
        <w:pStyle w:val="ListParagraph"/>
        <w:numPr>
          <w:ilvl w:val="0"/>
          <w:numId w:val="5"/>
        </w:numPr>
        <w:rPr>
          <w:color w:val="808080" w:themeColor="background1" w:themeShade="80"/>
        </w:rPr>
      </w:pPr>
      <w:r w:rsidRPr="00927CE3">
        <w:rPr>
          <w:color w:val="808080" w:themeColor="background1" w:themeShade="80"/>
        </w:rPr>
        <w:t xml:space="preserve">To encourage stability in coaching, coaches will receive the base stipend plus an additional $1,000/year incentive for head coaches in group one (1) upon the completion of every three years holding the same head coaching position and a commitment to three additional years coaching.  Head coaches in group two (2) will be paid the base stipend plus an additional $750/year incentive for every three years of holding the same position and a commitment to three additional years coaching. Total incentive will not exceed $7,000/year (group 1) or $5,250/year (group 2). Longevity in position will begin with ratification of the 2008-11 </w:t>
      </w:r>
      <w:proofErr w:type="gramStart"/>
      <w:r w:rsidRPr="00927CE3">
        <w:rPr>
          <w:color w:val="808080" w:themeColor="background1" w:themeShade="80"/>
        </w:rPr>
        <w:t>contract</w:t>
      </w:r>
      <w:proofErr w:type="gramEnd"/>
      <w:r w:rsidRPr="00927CE3">
        <w:rPr>
          <w:color w:val="808080" w:themeColor="background1" w:themeShade="80"/>
        </w:rPr>
        <w:t>. Any break in service not approved by the District Athletic Director or not considered an approved leave of absence will terminate the incentive stipend. Breaks include transfer to another sport or activity.</w:t>
      </w:r>
    </w:p>
    <w:p w:rsidR="00DF0505" w:rsidRPr="0077342B" w:rsidRDefault="00DF0505" w:rsidP="00C546B4">
      <w:pPr>
        <w:pStyle w:val="ListParagraph"/>
        <w:ind w:left="360"/>
      </w:pPr>
    </w:p>
    <w:p w:rsidR="00DF0505" w:rsidRPr="00927CE3" w:rsidRDefault="00DF0505" w:rsidP="00130B28">
      <w:pPr>
        <w:pStyle w:val="ListParagraph"/>
        <w:numPr>
          <w:ilvl w:val="0"/>
          <w:numId w:val="5"/>
        </w:numPr>
        <w:rPr>
          <w:color w:val="808080" w:themeColor="background1" w:themeShade="80"/>
        </w:rPr>
      </w:pPr>
      <w:r w:rsidRPr="0077342B">
        <w:t xml:space="preserve">Coaching positions can be terminated by either party for mutually agreed upon circumstances, and unilaterally by management for just cause using due process. </w:t>
      </w:r>
      <w:r w:rsidRPr="0077342B">
        <w:rPr>
          <w:strike/>
        </w:rPr>
        <w:t>Faculty</w:t>
      </w:r>
      <w:r w:rsidRPr="0077342B">
        <w:t xml:space="preserve"> </w:t>
      </w:r>
      <w:r w:rsidRPr="00927CE3">
        <w:rPr>
          <w:color w:val="984806" w:themeColor="accent6" w:themeShade="80"/>
        </w:rPr>
        <w:t xml:space="preserve">Academic employee </w:t>
      </w:r>
      <w:r w:rsidRPr="0077342B">
        <w:t xml:space="preserve">may cease coaching during the three year commitment of the position in question only upon extenuating circumstances or mutual agreement. Coaches will make all efforts to otherwise terminate their coaching positions with one year’s advance notice. If, at the end of the three year commitment, a coach feels he or she would be unable to complete the next successive three year commitment, the coach may, upon mutual agreement, continue to coach and receive the base stipend plus the previous incentive amount attained. </w:t>
      </w:r>
    </w:p>
    <w:tbl>
      <w:tblPr>
        <w:tblStyle w:val="TableGrid"/>
        <w:tblW w:w="0" w:type="auto"/>
        <w:tblLook w:val="00A0" w:firstRow="1" w:lastRow="0" w:firstColumn="1" w:lastColumn="0" w:noHBand="0" w:noVBand="0"/>
      </w:tblPr>
      <w:tblGrid>
        <w:gridCol w:w="1278"/>
        <w:gridCol w:w="2610"/>
        <w:gridCol w:w="5976"/>
      </w:tblGrid>
      <w:tr w:rsidR="00927CE3"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Coach</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Compensation</w:t>
            </w:r>
          </w:p>
        </w:tc>
        <w:tc>
          <w:tcPr>
            <w:tcW w:w="5976" w:type="dxa"/>
          </w:tcPr>
          <w:p w:rsidR="00DF0505" w:rsidRPr="00927CE3" w:rsidRDefault="00DF0505" w:rsidP="00130B28">
            <w:pPr>
              <w:contextualSpacing/>
              <w:rPr>
                <w:bCs/>
                <w:color w:val="808080" w:themeColor="background1" w:themeShade="80"/>
              </w:rPr>
            </w:pPr>
            <w:r w:rsidRPr="00927CE3">
              <w:rPr>
                <w:bCs/>
                <w:color w:val="808080" w:themeColor="background1" w:themeShade="80"/>
              </w:rPr>
              <w:t>Incentive</w:t>
            </w:r>
          </w:p>
        </w:tc>
      </w:tr>
      <w:tr w:rsidR="00927CE3"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Year 1</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Base Stipend</w:t>
            </w:r>
          </w:p>
        </w:tc>
        <w:tc>
          <w:tcPr>
            <w:tcW w:w="5976" w:type="dxa"/>
          </w:tcPr>
          <w:p w:rsidR="00DF0505" w:rsidRPr="00927CE3" w:rsidRDefault="00DF0505" w:rsidP="00130B28">
            <w:pPr>
              <w:contextualSpacing/>
              <w:rPr>
                <w:bCs/>
                <w:color w:val="808080" w:themeColor="background1" w:themeShade="80"/>
              </w:rPr>
            </w:pPr>
            <w:r w:rsidRPr="00927CE3">
              <w:rPr>
                <w:bCs/>
                <w:color w:val="808080" w:themeColor="background1" w:themeShade="80"/>
              </w:rPr>
              <w:t>Make three year commitment</w:t>
            </w:r>
          </w:p>
        </w:tc>
      </w:tr>
      <w:tr w:rsidR="00927CE3"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Year 2</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Base Stipend</w:t>
            </w:r>
          </w:p>
        </w:tc>
        <w:tc>
          <w:tcPr>
            <w:tcW w:w="5976" w:type="dxa"/>
          </w:tcPr>
          <w:p w:rsidR="00DF0505" w:rsidRPr="00927CE3" w:rsidRDefault="00DF0505" w:rsidP="00130B28">
            <w:pPr>
              <w:contextualSpacing/>
              <w:rPr>
                <w:bCs/>
                <w:color w:val="808080" w:themeColor="background1" w:themeShade="80"/>
              </w:rPr>
            </w:pPr>
          </w:p>
        </w:tc>
      </w:tr>
      <w:tr w:rsidR="00927CE3"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Year 3</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Base Stipend</w:t>
            </w:r>
          </w:p>
        </w:tc>
        <w:tc>
          <w:tcPr>
            <w:tcW w:w="5976" w:type="dxa"/>
          </w:tcPr>
          <w:p w:rsidR="00DF0505" w:rsidRPr="00927CE3" w:rsidRDefault="00DF0505" w:rsidP="00130B28">
            <w:pPr>
              <w:contextualSpacing/>
              <w:rPr>
                <w:bCs/>
                <w:color w:val="808080" w:themeColor="background1" w:themeShade="80"/>
              </w:rPr>
            </w:pPr>
          </w:p>
        </w:tc>
      </w:tr>
      <w:tr w:rsidR="00927CE3"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Year 4</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Base Stipend</w:t>
            </w:r>
          </w:p>
        </w:tc>
        <w:tc>
          <w:tcPr>
            <w:tcW w:w="5976" w:type="dxa"/>
          </w:tcPr>
          <w:p w:rsidR="00DF0505" w:rsidRPr="00927CE3" w:rsidRDefault="00DF0505" w:rsidP="00130B28">
            <w:pPr>
              <w:contextualSpacing/>
              <w:rPr>
                <w:bCs/>
                <w:color w:val="808080" w:themeColor="background1" w:themeShade="80"/>
              </w:rPr>
            </w:pPr>
            <w:r w:rsidRPr="00927CE3">
              <w:rPr>
                <w:bCs/>
                <w:color w:val="808080" w:themeColor="background1" w:themeShade="80"/>
              </w:rPr>
              <w:t>Plus $1,000 (group 1) or $750 (group 2) for fulfillment of a 3 year commitment and committing to an additional three years</w:t>
            </w:r>
          </w:p>
        </w:tc>
      </w:tr>
      <w:tr w:rsidR="00927CE3"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Year 5</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Base Stipend</w:t>
            </w:r>
          </w:p>
        </w:tc>
        <w:tc>
          <w:tcPr>
            <w:tcW w:w="5976" w:type="dxa"/>
          </w:tcPr>
          <w:p w:rsidR="00DF0505" w:rsidRPr="00927CE3" w:rsidRDefault="00DF0505" w:rsidP="00130B28">
            <w:pPr>
              <w:contextualSpacing/>
              <w:rPr>
                <w:bCs/>
                <w:color w:val="808080" w:themeColor="background1" w:themeShade="80"/>
              </w:rPr>
            </w:pPr>
            <w:r w:rsidRPr="00927CE3">
              <w:rPr>
                <w:bCs/>
                <w:color w:val="808080" w:themeColor="background1" w:themeShade="80"/>
              </w:rPr>
              <w:t>Plus $1,000 (group 1) or $750 (group 2)</w:t>
            </w:r>
          </w:p>
        </w:tc>
      </w:tr>
      <w:tr w:rsidR="00927CE3"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Year 6</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Base Stipend</w:t>
            </w:r>
          </w:p>
        </w:tc>
        <w:tc>
          <w:tcPr>
            <w:tcW w:w="5976" w:type="dxa"/>
          </w:tcPr>
          <w:p w:rsidR="00DF0505" w:rsidRPr="00927CE3" w:rsidRDefault="00DF0505" w:rsidP="00130B28">
            <w:pPr>
              <w:contextualSpacing/>
              <w:rPr>
                <w:bCs/>
                <w:color w:val="808080" w:themeColor="background1" w:themeShade="80"/>
              </w:rPr>
            </w:pPr>
            <w:r w:rsidRPr="00927CE3">
              <w:rPr>
                <w:bCs/>
                <w:color w:val="808080" w:themeColor="background1" w:themeShade="80"/>
              </w:rPr>
              <w:t>Plus $1,000 (group 1) or $750 (group 2)</w:t>
            </w:r>
          </w:p>
        </w:tc>
      </w:tr>
      <w:tr w:rsidR="00927CE3"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Year 7</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Base Stipend</w:t>
            </w:r>
          </w:p>
        </w:tc>
        <w:tc>
          <w:tcPr>
            <w:tcW w:w="5976" w:type="dxa"/>
          </w:tcPr>
          <w:p w:rsidR="00DF0505" w:rsidRPr="00927CE3" w:rsidRDefault="00DF0505" w:rsidP="00130B28">
            <w:pPr>
              <w:contextualSpacing/>
              <w:rPr>
                <w:bCs/>
                <w:color w:val="808080" w:themeColor="background1" w:themeShade="80"/>
              </w:rPr>
            </w:pPr>
            <w:r w:rsidRPr="00927CE3">
              <w:rPr>
                <w:bCs/>
                <w:color w:val="808080" w:themeColor="background1" w:themeShade="80"/>
              </w:rPr>
              <w:t>Plus $2,000 (group 1) or $1,500 (group 2) fulfillment of a 3 year commitment and committing to an additional three years</w:t>
            </w:r>
          </w:p>
        </w:tc>
      </w:tr>
      <w:tr w:rsidR="00927CE3"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Year 8</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Base Stipend</w:t>
            </w:r>
          </w:p>
        </w:tc>
        <w:tc>
          <w:tcPr>
            <w:tcW w:w="5976" w:type="dxa"/>
          </w:tcPr>
          <w:p w:rsidR="00DF0505" w:rsidRPr="00927CE3" w:rsidRDefault="00DF0505" w:rsidP="00130B28">
            <w:pPr>
              <w:contextualSpacing/>
              <w:rPr>
                <w:bCs/>
                <w:color w:val="808080" w:themeColor="background1" w:themeShade="80"/>
              </w:rPr>
            </w:pPr>
            <w:r w:rsidRPr="00927CE3">
              <w:rPr>
                <w:bCs/>
                <w:color w:val="808080" w:themeColor="background1" w:themeShade="80"/>
              </w:rPr>
              <w:t>Plus $2,000 (group 1) or $1,500 (group 2)</w:t>
            </w:r>
          </w:p>
        </w:tc>
      </w:tr>
      <w:tr w:rsidR="00DF0505" w:rsidRPr="00927CE3">
        <w:tc>
          <w:tcPr>
            <w:tcW w:w="1278"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Year 9</w:t>
            </w:r>
          </w:p>
        </w:tc>
        <w:tc>
          <w:tcPr>
            <w:tcW w:w="2610" w:type="dxa"/>
            <w:vAlign w:val="center"/>
          </w:tcPr>
          <w:p w:rsidR="00DF0505" w:rsidRPr="00927CE3" w:rsidRDefault="00DF0505" w:rsidP="00C546B4">
            <w:pPr>
              <w:contextualSpacing/>
              <w:jc w:val="center"/>
              <w:rPr>
                <w:bCs/>
                <w:color w:val="808080" w:themeColor="background1" w:themeShade="80"/>
              </w:rPr>
            </w:pPr>
            <w:r w:rsidRPr="00927CE3">
              <w:rPr>
                <w:bCs/>
                <w:color w:val="808080" w:themeColor="background1" w:themeShade="80"/>
              </w:rPr>
              <w:t>Base Stipend</w:t>
            </w:r>
          </w:p>
        </w:tc>
        <w:tc>
          <w:tcPr>
            <w:tcW w:w="5976" w:type="dxa"/>
          </w:tcPr>
          <w:p w:rsidR="00DF0505" w:rsidRPr="00927CE3" w:rsidRDefault="00DF0505" w:rsidP="00130B28">
            <w:pPr>
              <w:contextualSpacing/>
              <w:rPr>
                <w:bCs/>
                <w:color w:val="808080" w:themeColor="background1" w:themeShade="80"/>
              </w:rPr>
            </w:pPr>
            <w:r w:rsidRPr="00927CE3">
              <w:rPr>
                <w:bCs/>
                <w:color w:val="808080" w:themeColor="background1" w:themeShade="80"/>
              </w:rPr>
              <w:t>Plus $2,000 (group 1) or $1,500 (group 2)</w:t>
            </w:r>
          </w:p>
        </w:tc>
      </w:tr>
    </w:tbl>
    <w:p w:rsidR="00DF0505" w:rsidRPr="00927CE3" w:rsidRDefault="00DF0505" w:rsidP="00130B28">
      <w:pPr>
        <w:contextualSpacing/>
        <w:rPr>
          <w:b/>
          <w:bCs/>
          <w:color w:val="808080" w:themeColor="background1" w:themeShade="80"/>
        </w:rPr>
      </w:pPr>
    </w:p>
    <w:p w:rsidR="00DF0505" w:rsidRPr="0077342B" w:rsidRDefault="00DF0505" w:rsidP="00130B28">
      <w:pPr>
        <w:contextualSpacing/>
      </w:pPr>
      <w:proofErr w:type="gramStart"/>
      <w:r w:rsidRPr="0077342B">
        <w:rPr>
          <w:b/>
          <w:bCs/>
        </w:rPr>
        <w:t>Section 7.</w:t>
      </w:r>
      <w:proofErr w:type="gramEnd"/>
      <w:r w:rsidRPr="0077342B">
        <w:rPr>
          <w:b/>
          <w:bCs/>
        </w:rPr>
        <w:t xml:space="preserve"> </w:t>
      </w:r>
      <w:r w:rsidRPr="0077342B">
        <w:rPr>
          <w:b/>
          <w:bCs/>
        </w:rPr>
        <w:tab/>
        <w:t xml:space="preserve">Stipends for Allied Health Program Directors </w:t>
      </w:r>
    </w:p>
    <w:p w:rsidR="00DF0505" w:rsidRPr="0077342B" w:rsidRDefault="00DF0505" w:rsidP="00130B28">
      <w:pPr>
        <w:contextualSpacing/>
      </w:pPr>
      <w:r w:rsidRPr="0077342B">
        <w:t>An annual stipend of $</w:t>
      </w:r>
      <w:r w:rsidRPr="0077342B">
        <w:rPr>
          <w:strike/>
        </w:rPr>
        <w:t xml:space="preserve">2,000 </w:t>
      </w:r>
      <w:r w:rsidR="00927CE3">
        <w:t xml:space="preserve"> </w:t>
      </w:r>
      <w:r w:rsidR="00880893" w:rsidRPr="00927CE3">
        <w:rPr>
          <w:color w:val="984806" w:themeColor="accent6" w:themeShade="80"/>
        </w:rPr>
        <w:t xml:space="preserve">$3500 </w:t>
      </w:r>
      <w:r w:rsidRPr="0077342B">
        <w:t xml:space="preserve">will be paid to academic employees in accredited allied health </w:t>
      </w:r>
      <w:r w:rsidRPr="00C070BB">
        <w:rPr>
          <w:strike/>
        </w:rPr>
        <w:t xml:space="preserve">or applied allied health </w:t>
      </w:r>
      <w:r w:rsidRPr="00C070BB">
        <w:t xml:space="preserve">programs </w:t>
      </w:r>
      <w:r w:rsidRPr="0077342B">
        <w:t>who have been designated program directors in recognition of the program accreditation responsibilities which require activities beyond the thirty-five (35)-hour work week.</w:t>
      </w:r>
    </w:p>
    <w:p w:rsidR="00DF0505" w:rsidRPr="002C6317" w:rsidRDefault="00DF0505" w:rsidP="00130B28">
      <w:pPr>
        <w:contextualSpacing/>
      </w:pPr>
    </w:p>
    <w:p w:rsidR="00DF0505" w:rsidRPr="00927CE3" w:rsidRDefault="00DF0505" w:rsidP="002C6317">
      <w:pPr>
        <w:widowControl w:val="0"/>
        <w:autoSpaceDE w:val="0"/>
        <w:autoSpaceDN w:val="0"/>
        <w:adjustRightInd w:val="0"/>
        <w:spacing w:after="0" w:line="240" w:lineRule="auto"/>
        <w:jc w:val="both"/>
        <w:rPr>
          <w:rFonts w:ascii="Arial" w:hAnsi="Arial" w:cs="Arial"/>
          <w:color w:val="984806" w:themeColor="accent6" w:themeShade="80"/>
        </w:rPr>
      </w:pPr>
      <w:proofErr w:type="gramStart"/>
      <w:r w:rsidRPr="00927CE3">
        <w:rPr>
          <w:rFonts w:cs="Calibri"/>
          <w:b/>
          <w:bCs/>
          <w:color w:val="984806" w:themeColor="accent6" w:themeShade="80"/>
        </w:rPr>
        <w:t>Section</w:t>
      </w:r>
      <w:r w:rsidR="00927CE3" w:rsidRPr="00927CE3">
        <w:rPr>
          <w:rFonts w:cs="Calibri"/>
          <w:b/>
          <w:bCs/>
          <w:color w:val="984806" w:themeColor="accent6" w:themeShade="80"/>
        </w:rPr>
        <w:t xml:space="preserve"> 8.</w:t>
      </w:r>
      <w:proofErr w:type="gramEnd"/>
      <w:r w:rsidR="00927CE3" w:rsidRPr="00927CE3">
        <w:rPr>
          <w:rFonts w:cs="Calibri"/>
          <w:b/>
          <w:bCs/>
          <w:color w:val="984806" w:themeColor="accent6" w:themeShade="80"/>
        </w:rPr>
        <w:tab/>
      </w:r>
      <w:r w:rsidRPr="00927CE3">
        <w:rPr>
          <w:rFonts w:cs="Calibri"/>
          <w:b/>
          <w:bCs/>
          <w:color w:val="984806" w:themeColor="accent6" w:themeShade="80"/>
        </w:rPr>
        <w:t>Stipends for Allied Health Clinical Education Director</w:t>
      </w:r>
    </w:p>
    <w:p w:rsidR="00DF0505" w:rsidRPr="00927CE3" w:rsidRDefault="00DF0505" w:rsidP="002C6317">
      <w:pPr>
        <w:widowControl w:val="0"/>
        <w:autoSpaceDE w:val="0"/>
        <w:autoSpaceDN w:val="0"/>
        <w:adjustRightInd w:val="0"/>
        <w:spacing w:after="0" w:line="240" w:lineRule="auto"/>
        <w:jc w:val="both"/>
        <w:rPr>
          <w:rFonts w:ascii="Arial" w:hAnsi="Arial" w:cs="Arial"/>
          <w:color w:val="984806" w:themeColor="accent6" w:themeShade="80"/>
        </w:rPr>
      </w:pPr>
      <w:r w:rsidRPr="00927CE3">
        <w:rPr>
          <w:rFonts w:cs="Calibri"/>
          <w:color w:val="984806" w:themeColor="accent6" w:themeShade="80"/>
        </w:rPr>
        <w:t> </w:t>
      </w:r>
    </w:p>
    <w:p w:rsidR="00DF0505" w:rsidRPr="00927CE3" w:rsidRDefault="00DF0505" w:rsidP="002C6317">
      <w:pPr>
        <w:widowControl w:val="0"/>
        <w:autoSpaceDE w:val="0"/>
        <w:autoSpaceDN w:val="0"/>
        <w:adjustRightInd w:val="0"/>
        <w:spacing w:after="266" w:line="240" w:lineRule="auto"/>
        <w:rPr>
          <w:rFonts w:ascii="Arial" w:hAnsi="Arial" w:cs="Arial"/>
          <w:color w:val="984806" w:themeColor="accent6" w:themeShade="80"/>
        </w:rPr>
      </w:pPr>
      <w:r w:rsidRPr="00927CE3">
        <w:rPr>
          <w:rFonts w:cs="Calibri"/>
          <w:bCs/>
          <w:color w:val="984806" w:themeColor="accent6" w:themeShade="80"/>
        </w:rPr>
        <w:t>A minimum of 10% quarterly workload or a minimum of $700 quarterly stipend</w:t>
      </w:r>
      <w:r w:rsidRPr="00927CE3">
        <w:rPr>
          <w:rFonts w:cs="Calibri"/>
          <w:color w:val="984806" w:themeColor="accent6" w:themeShade="80"/>
        </w:rPr>
        <w:t xml:space="preserve"> will </w:t>
      </w:r>
      <w:r w:rsidR="00877B09">
        <w:rPr>
          <w:rFonts w:cs="Calibri"/>
          <w:color w:val="984806" w:themeColor="accent6" w:themeShade="80"/>
        </w:rPr>
        <w:t xml:space="preserve">be </w:t>
      </w:r>
      <w:r w:rsidRPr="00927CE3">
        <w:rPr>
          <w:rFonts w:cs="Calibri"/>
          <w:color w:val="984806" w:themeColor="accent6" w:themeShade="80"/>
        </w:rPr>
        <w:t>assigned to academic employees in an accredited allied health program that requires a Clinical Education Director. This is in recognition of the program accreditation responsibilities required, such as but not limited to: schedule students i</w:t>
      </w:r>
      <w:r w:rsidR="00877B09">
        <w:rPr>
          <w:rFonts w:cs="Calibri"/>
          <w:color w:val="984806" w:themeColor="accent6" w:themeShade="80"/>
        </w:rPr>
        <w:t>nto clinical sites, coordinate</w:t>
      </w:r>
      <w:r w:rsidRPr="00927CE3">
        <w:rPr>
          <w:rFonts w:cs="Calibri"/>
          <w:color w:val="984806" w:themeColor="accent6" w:themeShade="80"/>
        </w:rPr>
        <w:t xml:space="preserve"> with clinical sites managers, assist in setting up preceptors, maintain and develop clinical agreement/contracts, </w:t>
      </w:r>
      <w:r w:rsidR="00877B09">
        <w:rPr>
          <w:rFonts w:cs="Calibri"/>
          <w:color w:val="984806" w:themeColor="accent6" w:themeShade="80"/>
        </w:rPr>
        <w:t xml:space="preserve">conduct </w:t>
      </w:r>
      <w:r w:rsidRPr="00927CE3">
        <w:rPr>
          <w:rFonts w:cs="Calibri"/>
          <w:color w:val="984806" w:themeColor="accent6" w:themeShade="80"/>
        </w:rPr>
        <w:t xml:space="preserve">student orientations to site with appropriate paperwork and clinical documentation, </w:t>
      </w:r>
      <w:r w:rsidR="00877B09">
        <w:rPr>
          <w:rFonts w:cs="Calibri"/>
          <w:color w:val="984806" w:themeColor="accent6" w:themeShade="80"/>
        </w:rPr>
        <w:t xml:space="preserve">make </w:t>
      </w:r>
      <w:r w:rsidRPr="00927CE3">
        <w:rPr>
          <w:rFonts w:cs="Calibri"/>
          <w:color w:val="984806" w:themeColor="accent6" w:themeShade="80"/>
        </w:rPr>
        <w:t xml:space="preserve">provisions for computer documentation or other paperwork (currently EPIC and MEDITECH), maintain appropriate numbers and sites with a trained preceptor, </w:t>
      </w:r>
      <w:r w:rsidRPr="00927CE3">
        <w:rPr>
          <w:rFonts w:cs="Calibri"/>
          <w:bCs/>
          <w:color w:val="984806" w:themeColor="accent6" w:themeShade="80"/>
        </w:rPr>
        <w:t>work with the</w:t>
      </w:r>
      <w:r w:rsidRPr="00927CE3">
        <w:rPr>
          <w:rFonts w:cs="Calibri"/>
          <w:color w:val="984806" w:themeColor="accent6" w:themeShade="80"/>
        </w:rPr>
        <w:t xml:space="preserve"> </w:t>
      </w:r>
      <w:r w:rsidRPr="00927CE3">
        <w:rPr>
          <w:rFonts w:cs="Calibri"/>
          <w:bCs/>
          <w:color w:val="984806" w:themeColor="accent6" w:themeShade="80"/>
        </w:rPr>
        <w:t>program director on accreditation reports</w:t>
      </w:r>
      <w:r w:rsidRPr="00927CE3">
        <w:rPr>
          <w:rFonts w:cs="Calibri"/>
          <w:color w:val="984806" w:themeColor="accent6" w:themeShade="80"/>
        </w:rPr>
        <w:t>, submit clinical syllabi, re-schedul</w:t>
      </w:r>
      <w:r w:rsidR="00877B09">
        <w:rPr>
          <w:rFonts w:cs="Calibri"/>
          <w:color w:val="984806" w:themeColor="accent6" w:themeShade="80"/>
        </w:rPr>
        <w:t>ing</w:t>
      </w:r>
      <w:r w:rsidRPr="00927CE3">
        <w:rPr>
          <w:rFonts w:cs="Calibri"/>
          <w:color w:val="984806" w:themeColor="accent6" w:themeShade="80"/>
        </w:rPr>
        <w:t>, and handle on</w:t>
      </w:r>
      <w:r w:rsidR="00877B09">
        <w:rPr>
          <w:rFonts w:cs="Calibri"/>
          <w:color w:val="984806" w:themeColor="accent6" w:themeShade="80"/>
        </w:rPr>
        <w:t>-</w:t>
      </w:r>
      <w:r w:rsidRPr="00927CE3">
        <w:rPr>
          <w:rFonts w:cs="Calibri"/>
          <w:color w:val="984806" w:themeColor="accent6" w:themeShade="80"/>
        </w:rPr>
        <w:t>site issues that are contract related.</w:t>
      </w:r>
    </w:p>
    <w:p w:rsidR="00DF0505" w:rsidRPr="00927CE3" w:rsidRDefault="00DF0505" w:rsidP="002C6317">
      <w:pPr>
        <w:contextualSpacing/>
        <w:rPr>
          <w:color w:val="984806" w:themeColor="accent6" w:themeShade="80"/>
        </w:rPr>
      </w:pPr>
      <w:r w:rsidRPr="00927CE3">
        <w:rPr>
          <w:rFonts w:cs="Calibri"/>
          <w:bCs/>
          <w:color w:val="984806" w:themeColor="accent6" w:themeShade="80"/>
        </w:rPr>
        <w:t>These duties ar</w:t>
      </w:r>
      <w:r w:rsidR="00877B09">
        <w:rPr>
          <w:rFonts w:cs="Calibri"/>
          <w:bCs/>
          <w:color w:val="984806" w:themeColor="accent6" w:themeShade="80"/>
        </w:rPr>
        <w:t>e in addition to any duties the academic employee</w:t>
      </w:r>
      <w:r w:rsidRPr="00927CE3">
        <w:rPr>
          <w:rFonts w:cs="Calibri"/>
          <w:bCs/>
          <w:color w:val="984806" w:themeColor="accent6" w:themeShade="80"/>
        </w:rPr>
        <w:t xml:space="preserve"> ha</w:t>
      </w:r>
      <w:r w:rsidR="00877B09">
        <w:rPr>
          <w:rFonts w:cs="Calibri"/>
          <w:bCs/>
          <w:color w:val="984806" w:themeColor="accent6" w:themeShade="80"/>
        </w:rPr>
        <w:t>s</w:t>
      </w:r>
      <w:r w:rsidRPr="00927CE3">
        <w:rPr>
          <w:rFonts w:cs="Calibri"/>
          <w:bCs/>
          <w:color w:val="984806" w:themeColor="accent6" w:themeShade="80"/>
        </w:rPr>
        <w:t xml:space="preserve"> as instructor in these program and program classes.</w:t>
      </w:r>
    </w:p>
    <w:p w:rsidR="00DF0505" w:rsidRPr="002C6317" w:rsidRDefault="00DF0505" w:rsidP="00130B28">
      <w:pPr>
        <w:contextualSpacing/>
      </w:pPr>
    </w:p>
    <w:p w:rsidR="00DF0505" w:rsidRPr="00877B09" w:rsidRDefault="00DF0505" w:rsidP="00130B28">
      <w:pPr>
        <w:contextualSpacing/>
        <w:rPr>
          <w:color w:val="808080" w:themeColor="background1" w:themeShade="80"/>
        </w:rPr>
      </w:pPr>
      <w:proofErr w:type="gramStart"/>
      <w:r w:rsidRPr="0077342B">
        <w:rPr>
          <w:b/>
          <w:bCs/>
        </w:rPr>
        <w:t xml:space="preserve">Section </w:t>
      </w:r>
      <w:r w:rsidR="00877B09" w:rsidRPr="00877B09">
        <w:rPr>
          <w:b/>
          <w:bCs/>
          <w:color w:val="984806" w:themeColor="accent6" w:themeShade="80"/>
        </w:rPr>
        <w:t>9</w:t>
      </w:r>
      <w:r w:rsidR="00877B09">
        <w:rPr>
          <w:b/>
          <w:bCs/>
        </w:rPr>
        <w:t xml:space="preserve"> </w:t>
      </w:r>
      <w:r w:rsidRPr="00877B09">
        <w:rPr>
          <w:b/>
          <w:bCs/>
          <w:strike/>
        </w:rPr>
        <w:t>8</w:t>
      </w:r>
      <w:r w:rsidRPr="0077342B">
        <w:rPr>
          <w:b/>
          <w:bCs/>
        </w:rPr>
        <w:t>.</w:t>
      </w:r>
      <w:proofErr w:type="gramEnd"/>
      <w:r w:rsidRPr="0077342B">
        <w:rPr>
          <w:b/>
          <w:bCs/>
        </w:rPr>
        <w:t xml:space="preserve"> </w:t>
      </w:r>
      <w:r w:rsidRPr="0077342B">
        <w:rPr>
          <w:b/>
          <w:bCs/>
        </w:rPr>
        <w:tab/>
      </w:r>
      <w:r w:rsidRPr="00877B09">
        <w:rPr>
          <w:b/>
          <w:bCs/>
          <w:color w:val="808080" w:themeColor="background1" w:themeShade="80"/>
        </w:rPr>
        <w:t>Stipends for Program Lead Instructor</w:t>
      </w:r>
    </w:p>
    <w:p w:rsidR="00DF0505" w:rsidRPr="00877B09" w:rsidRDefault="00DF0505" w:rsidP="00130B28">
      <w:pPr>
        <w:contextualSpacing/>
        <w:rPr>
          <w:color w:val="808080" w:themeColor="background1" w:themeShade="80"/>
        </w:rPr>
      </w:pPr>
      <w:r w:rsidRPr="00877B09">
        <w:rPr>
          <w:color w:val="808080" w:themeColor="background1" w:themeShade="80"/>
        </w:rPr>
        <w:t>(See Article 14)</w:t>
      </w:r>
    </w:p>
    <w:p w:rsidR="00DF0505" w:rsidRPr="0077342B" w:rsidRDefault="00DF0505" w:rsidP="00130B28">
      <w:pPr>
        <w:contextualSpacing/>
        <w:rPr>
          <w:b/>
          <w:bCs/>
        </w:rPr>
      </w:pPr>
    </w:p>
    <w:p w:rsidR="00DF0505" w:rsidRPr="00877B09" w:rsidRDefault="00DF0505" w:rsidP="00130B28">
      <w:pPr>
        <w:contextualSpacing/>
        <w:rPr>
          <w:color w:val="808080" w:themeColor="background1" w:themeShade="80"/>
        </w:rPr>
      </w:pPr>
      <w:proofErr w:type="gramStart"/>
      <w:r w:rsidRPr="0077342B">
        <w:rPr>
          <w:b/>
          <w:bCs/>
        </w:rPr>
        <w:t xml:space="preserve">Section </w:t>
      </w:r>
      <w:r w:rsidR="00877B09" w:rsidRPr="00877B09">
        <w:rPr>
          <w:b/>
          <w:bCs/>
          <w:color w:val="984806" w:themeColor="accent6" w:themeShade="80"/>
        </w:rPr>
        <w:t>10</w:t>
      </w:r>
      <w:r w:rsidR="00877B09">
        <w:rPr>
          <w:b/>
          <w:bCs/>
        </w:rPr>
        <w:t xml:space="preserve"> </w:t>
      </w:r>
      <w:r w:rsidRPr="00877B09">
        <w:rPr>
          <w:b/>
          <w:bCs/>
          <w:strike/>
        </w:rPr>
        <w:t>9</w:t>
      </w:r>
      <w:r w:rsidRPr="0077342B">
        <w:rPr>
          <w:b/>
          <w:bCs/>
        </w:rPr>
        <w:t>.</w:t>
      </w:r>
      <w:proofErr w:type="gramEnd"/>
      <w:r w:rsidRPr="0077342B">
        <w:rPr>
          <w:b/>
          <w:bCs/>
        </w:rPr>
        <w:t xml:space="preserve"> </w:t>
      </w:r>
      <w:r w:rsidRPr="0077342B">
        <w:rPr>
          <w:b/>
          <w:bCs/>
        </w:rPr>
        <w:tab/>
      </w:r>
      <w:r w:rsidRPr="00877B09">
        <w:rPr>
          <w:b/>
          <w:bCs/>
          <w:color w:val="808080" w:themeColor="background1" w:themeShade="80"/>
        </w:rPr>
        <w:t>Study Abroad Program and Compensation for Related Duties</w:t>
      </w:r>
    </w:p>
    <w:p w:rsidR="00DF0505" w:rsidRPr="00877B09" w:rsidRDefault="00DF0505" w:rsidP="00130B28">
      <w:pPr>
        <w:contextualSpacing/>
        <w:rPr>
          <w:color w:val="808080" w:themeColor="background1" w:themeShade="80"/>
        </w:rPr>
      </w:pPr>
      <w:r w:rsidRPr="00877B09">
        <w:rPr>
          <w:color w:val="808080" w:themeColor="background1" w:themeShade="80"/>
        </w:rPr>
        <w:t xml:space="preserve">Study abroad programs include any number of arrangements by which </w:t>
      </w:r>
      <w:proofErr w:type="gramStart"/>
      <w:r w:rsidRPr="00877B09">
        <w:rPr>
          <w:color w:val="808080" w:themeColor="background1" w:themeShade="80"/>
        </w:rPr>
        <w:t>students</w:t>
      </w:r>
      <w:proofErr w:type="gramEnd"/>
      <w:r w:rsidRPr="00877B09">
        <w:rPr>
          <w:color w:val="808080" w:themeColor="background1" w:themeShade="80"/>
        </w:rPr>
        <w:t xml:space="preserve"> complete part of their educational program outside of the United States. Program guidelines, including compensation for associated duties, are as outlined by Administrative Procedure #4.70.01-A.</w:t>
      </w:r>
    </w:p>
    <w:p w:rsidR="00DF0505" w:rsidRPr="0077342B" w:rsidRDefault="00DF0505" w:rsidP="00130B28">
      <w:pPr>
        <w:contextualSpacing/>
        <w:rPr>
          <w:b/>
          <w:bCs/>
        </w:rPr>
      </w:pPr>
    </w:p>
    <w:p w:rsidR="00DF0505" w:rsidRPr="0077342B" w:rsidRDefault="00DF0505" w:rsidP="00130B28">
      <w:pPr>
        <w:contextualSpacing/>
      </w:pPr>
      <w:proofErr w:type="gramStart"/>
      <w:r w:rsidRPr="0077342B">
        <w:rPr>
          <w:b/>
          <w:bCs/>
        </w:rPr>
        <w:t xml:space="preserve">Section </w:t>
      </w:r>
      <w:r w:rsidR="00877B09" w:rsidRPr="00877B09">
        <w:rPr>
          <w:b/>
          <w:bCs/>
          <w:color w:val="984806" w:themeColor="accent6" w:themeShade="80"/>
        </w:rPr>
        <w:t>11</w:t>
      </w:r>
      <w:r w:rsidR="00877B09">
        <w:rPr>
          <w:b/>
          <w:bCs/>
        </w:rPr>
        <w:t xml:space="preserve"> </w:t>
      </w:r>
      <w:r w:rsidRPr="00877B09">
        <w:rPr>
          <w:b/>
          <w:bCs/>
          <w:strike/>
        </w:rPr>
        <w:t>10</w:t>
      </w:r>
      <w:r w:rsidRPr="0077342B">
        <w:rPr>
          <w:b/>
          <w:bCs/>
        </w:rPr>
        <w:t>.</w:t>
      </w:r>
      <w:proofErr w:type="gramEnd"/>
      <w:r w:rsidRPr="0077342B">
        <w:rPr>
          <w:b/>
          <w:bCs/>
        </w:rPr>
        <w:t xml:space="preserve"> </w:t>
      </w:r>
      <w:r w:rsidRPr="0077342B">
        <w:rPr>
          <w:b/>
          <w:bCs/>
        </w:rPr>
        <w:tab/>
        <w:t>Special Project Stipend</w:t>
      </w:r>
    </w:p>
    <w:p w:rsidR="00DF0505" w:rsidRPr="0077342B" w:rsidRDefault="00DF0505" w:rsidP="00130B28">
      <w:pPr>
        <w:contextualSpacing/>
      </w:pPr>
      <w:r w:rsidRPr="0077342B">
        <w:t xml:space="preserve">A project stipend may be provided for extraordinary and other special circumstances beyond the expected regular </w:t>
      </w:r>
      <w:r w:rsidRPr="0077342B">
        <w:rPr>
          <w:strike/>
        </w:rPr>
        <w:t>faculty</w:t>
      </w:r>
      <w:r w:rsidRPr="0077342B">
        <w:t xml:space="preserve"> </w:t>
      </w:r>
      <w:r w:rsidRPr="00877B09">
        <w:rPr>
          <w:color w:val="984806" w:themeColor="accent6" w:themeShade="80"/>
        </w:rPr>
        <w:t xml:space="preserve">academic employee </w:t>
      </w:r>
      <w:r w:rsidRPr="0077342B">
        <w:t xml:space="preserve">workload. A special project must have a definable beginning and end. This section is inappropriate for on-going assignments.  An academic employee may make application for a special project to the appropriate administrator, who shall consider and approve the project as appropriate for this section, or the appropriate administrator may authorize the stipend as a part of any assigned project. An academic employee may not be awarded stipend(s) that total more than </w:t>
      </w:r>
      <w:r w:rsidRPr="00877B09">
        <w:rPr>
          <w:strike/>
        </w:rPr>
        <w:t>$</w:t>
      </w:r>
      <w:r w:rsidRPr="0077342B">
        <w:rPr>
          <w:strike/>
        </w:rPr>
        <w:t>6,000</w:t>
      </w:r>
      <w:r w:rsidRPr="0077342B">
        <w:t xml:space="preserve"> </w:t>
      </w:r>
      <w:r w:rsidR="00877B09" w:rsidRPr="00877B09">
        <w:rPr>
          <w:color w:val="984806" w:themeColor="accent6" w:themeShade="80"/>
        </w:rPr>
        <w:t>$</w:t>
      </w:r>
      <w:r w:rsidRPr="00877B09">
        <w:rPr>
          <w:color w:val="984806" w:themeColor="accent6" w:themeShade="80"/>
        </w:rPr>
        <w:t xml:space="preserve">12,000 </w:t>
      </w:r>
      <w:r w:rsidRPr="0077342B">
        <w:t>per fiscal year.</w:t>
      </w:r>
    </w:p>
    <w:p w:rsidR="00DF0505" w:rsidRPr="0077342B" w:rsidRDefault="00DF0505" w:rsidP="00130B28">
      <w:pPr>
        <w:contextualSpacing/>
      </w:pPr>
    </w:p>
    <w:p w:rsidR="00DF0505" w:rsidRPr="00877B09" w:rsidRDefault="00DF0505" w:rsidP="00130B28">
      <w:pPr>
        <w:contextualSpacing/>
        <w:rPr>
          <w:b/>
          <w:color w:val="984806" w:themeColor="accent6" w:themeShade="80"/>
        </w:rPr>
      </w:pPr>
      <w:proofErr w:type="gramStart"/>
      <w:r w:rsidRPr="00877B09">
        <w:rPr>
          <w:b/>
          <w:color w:val="984806" w:themeColor="accent6" w:themeShade="80"/>
        </w:rPr>
        <w:t>Section 1</w:t>
      </w:r>
      <w:r w:rsidR="00877B09" w:rsidRPr="00877B09">
        <w:rPr>
          <w:b/>
          <w:color w:val="984806" w:themeColor="accent6" w:themeShade="80"/>
        </w:rPr>
        <w:t>2</w:t>
      </w:r>
      <w:r w:rsidRPr="00877B09">
        <w:rPr>
          <w:b/>
          <w:color w:val="984806" w:themeColor="accent6" w:themeShade="80"/>
        </w:rPr>
        <w:t>.</w:t>
      </w:r>
      <w:proofErr w:type="gramEnd"/>
      <w:r w:rsidRPr="00877B09">
        <w:rPr>
          <w:b/>
          <w:color w:val="984806" w:themeColor="accent6" w:themeShade="80"/>
        </w:rPr>
        <w:tab/>
        <w:t>Compensation for Prior Learning Assessment</w:t>
      </w:r>
    </w:p>
    <w:p w:rsidR="00DF0505" w:rsidRPr="00877B09" w:rsidRDefault="00DF0505" w:rsidP="00130B28">
      <w:pPr>
        <w:contextualSpacing/>
        <w:rPr>
          <w:color w:val="984806" w:themeColor="accent6" w:themeShade="80"/>
        </w:rPr>
      </w:pPr>
      <w:r w:rsidRPr="00877B09">
        <w:rPr>
          <w:color w:val="984806" w:themeColor="accent6" w:themeShade="80"/>
        </w:rPr>
        <w:t>Duties related to the evaluation of prior learning credit, including portfolio evaluation and challenge testing (including test creation, administration and scoring) will be compensated at $25 per credit attempted by the student.  This rate applies without regard to the number of credits ultimately awarded.</w:t>
      </w:r>
      <w:r w:rsidR="00D75578" w:rsidRPr="00877B09">
        <w:rPr>
          <w:color w:val="984806" w:themeColor="accent6" w:themeShade="80"/>
        </w:rPr>
        <w:t xml:space="preserve">  Validation of cross-walks will be paid separately via special project stipend (Section 1</w:t>
      </w:r>
      <w:r w:rsidR="00877B09" w:rsidRPr="00877B09">
        <w:rPr>
          <w:color w:val="984806" w:themeColor="accent6" w:themeShade="80"/>
        </w:rPr>
        <w:t>1</w:t>
      </w:r>
      <w:r w:rsidR="00D75578" w:rsidRPr="00877B09">
        <w:rPr>
          <w:color w:val="984806" w:themeColor="accent6" w:themeShade="80"/>
        </w:rPr>
        <w:t>).</w:t>
      </w:r>
    </w:p>
    <w:p w:rsidR="00DF0505" w:rsidRPr="0077342B" w:rsidRDefault="00DF0505" w:rsidP="00130B28">
      <w:pPr>
        <w:contextualSpacing/>
        <w:rPr>
          <w:color w:val="C00000"/>
        </w:rPr>
      </w:pPr>
    </w:p>
    <w:p w:rsidR="00DF0505" w:rsidRPr="00877B09" w:rsidRDefault="00877B09" w:rsidP="00130B28">
      <w:pPr>
        <w:contextualSpacing/>
        <w:rPr>
          <w:b/>
          <w:color w:val="984806" w:themeColor="accent6" w:themeShade="80"/>
        </w:rPr>
      </w:pPr>
      <w:proofErr w:type="gramStart"/>
      <w:r w:rsidRPr="00877B09">
        <w:rPr>
          <w:b/>
          <w:color w:val="984806" w:themeColor="accent6" w:themeShade="80"/>
        </w:rPr>
        <w:t>Section 13</w:t>
      </w:r>
      <w:r w:rsidR="00DF0505" w:rsidRPr="00877B09">
        <w:rPr>
          <w:b/>
          <w:color w:val="984806" w:themeColor="accent6" w:themeShade="80"/>
        </w:rPr>
        <w:t>.</w:t>
      </w:r>
      <w:proofErr w:type="gramEnd"/>
      <w:r w:rsidR="00DF0505" w:rsidRPr="00877B09">
        <w:rPr>
          <w:b/>
          <w:color w:val="984806" w:themeColor="accent6" w:themeShade="80"/>
        </w:rPr>
        <w:tab/>
        <w:t>Compensation for College in the High School</w:t>
      </w:r>
    </w:p>
    <w:p w:rsidR="00DF0505" w:rsidRPr="00877B09" w:rsidRDefault="00DF0505" w:rsidP="00130B28">
      <w:pPr>
        <w:contextualSpacing/>
        <w:rPr>
          <w:color w:val="984806" w:themeColor="accent6" w:themeShade="80"/>
        </w:rPr>
      </w:pPr>
    </w:p>
    <w:p w:rsidR="00DF0505" w:rsidRPr="00877B09" w:rsidRDefault="00DF0505" w:rsidP="00130B28">
      <w:pPr>
        <w:contextualSpacing/>
        <w:rPr>
          <w:color w:val="984806" w:themeColor="accent6" w:themeShade="80"/>
        </w:rPr>
      </w:pPr>
      <w:r w:rsidRPr="00877B09">
        <w:rPr>
          <w:color w:val="984806" w:themeColor="accent6" w:themeShade="80"/>
        </w:rPr>
        <w:t xml:space="preserve">CCS academic employees will be compensated for the development and mentorship of the course(s) taught in the K-12 semester course for College in the High School credit.  CCS academic employees mentors will be reimbursed for vicinity travel/sustenance and paid at the non-instructional mode per hour </w:t>
      </w:r>
      <w:r w:rsidR="00877B09">
        <w:rPr>
          <w:color w:val="984806" w:themeColor="accent6" w:themeShade="80"/>
        </w:rPr>
        <w:t>(per Article 25(6c)) for</w:t>
      </w:r>
      <w:r w:rsidRPr="00877B09">
        <w:rPr>
          <w:color w:val="984806" w:themeColor="accent6" w:themeShade="80"/>
        </w:rPr>
        <w:t xml:space="preserve"> travel to rural sites that occurs outside of the academic employee’s total weekly responsibilities.</w:t>
      </w:r>
    </w:p>
    <w:p w:rsidR="00DF0505" w:rsidRPr="0077342B" w:rsidRDefault="00DF0505" w:rsidP="00130B28">
      <w:pPr>
        <w:contextualSpacing/>
        <w:rPr>
          <w:color w:val="C00000"/>
        </w:rPr>
      </w:pPr>
    </w:p>
    <w:p w:rsidR="00DF0505" w:rsidRPr="0077342B" w:rsidRDefault="00DF0505" w:rsidP="00130B28">
      <w:pPr>
        <w:contextualSpacing/>
        <w:rPr>
          <w:b/>
          <w:color w:val="C00000"/>
        </w:rPr>
      </w:pPr>
      <w:proofErr w:type="gramStart"/>
      <w:r w:rsidRPr="00877B09">
        <w:rPr>
          <w:b/>
          <w:color w:val="984806" w:themeColor="accent6" w:themeShade="80"/>
        </w:rPr>
        <w:t xml:space="preserve">Section </w:t>
      </w:r>
      <w:r w:rsidR="00877B09" w:rsidRPr="00877B09">
        <w:rPr>
          <w:b/>
          <w:color w:val="984806" w:themeColor="accent6" w:themeShade="80"/>
        </w:rPr>
        <w:t>14</w:t>
      </w:r>
      <w:r w:rsidRPr="00877B09">
        <w:rPr>
          <w:b/>
          <w:color w:val="984806" w:themeColor="accent6" w:themeShade="80"/>
        </w:rPr>
        <w:t>.</w:t>
      </w:r>
      <w:proofErr w:type="gramEnd"/>
      <w:r w:rsidRPr="00877B09">
        <w:rPr>
          <w:b/>
          <w:color w:val="984806" w:themeColor="accent6" w:themeShade="80"/>
        </w:rPr>
        <w:tab/>
        <w:t>Compensation for Independent Study</w:t>
      </w:r>
    </w:p>
    <w:p w:rsidR="00DF0505" w:rsidRPr="0077342B" w:rsidRDefault="00DF0505" w:rsidP="00130B28">
      <w:pPr>
        <w:contextualSpacing/>
        <w:rPr>
          <w:color w:val="C00000"/>
        </w:rPr>
      </w:pPr>
      <w:r w:rsidRPr="0077342B">
        <w:rPr>
          <w:rFonts w:cs="Calibri"/>
          <w:sz w:val="20"/>
        </w:rPr>
        <w:t xml:space="preserve">Independent study shall not be included in workload computations. Approved independent study contracts shall be paid on the basis of </w:t>
      </w:r>
      <w:r w:rsidRPr="00877B09">
        <w:rPr>
          <w:rFonts w:cs="Calibri"/>
          <w:strike/>
          <w:color w:val="000000" w:themeColor="text1"/>
          <w:sz w:val="20"/>
        </w:rPr>
        <w:t>twenty dollars ($20.00</w:t>
      </w:r>
      <w:r w:rsidRPr="00877B09">
        <w:rPr>
          <w:rFonts w:cs="Calibri"/>
          <w:color w:val="000000" w:themeColor="text1"/>
          <w:sz w:val="20"/>
        </w:rPr>
        <w:t>)</w:t>
      </w:r>
      <w:r w:rsidRPr="0077342B">
        <w:rPr>
          <w:rFonts w:cs="Calibri"/>
          <w:color w:val="00B050"/>
          <w:sz w:val="20"/>
        </w:rPr>
        <w:t xml:space="preserve"> </w:t>
      </w:r>
      <w:r w:rsidRPr="00877B09">
        <w:rPr>
          <w:rFonts w:cs="Calibri"/>
          <w:color w:val="984806" w:themeColor="accent6" w:themeShade="80"/>
          <w:sz w:val="20"/>
        </w:rPr>
        <w:t>(fifty dollars ($50) per credit)</w:t>
      </w:r>
      <w:r w:rsidRPr="0077342B">
        <w:rPr>
          <w:rFonts w:cs="Calibri"/>
          <w:sz w:val="20"/>
        </w:rPr>
        <w:t>,</w:t>
      </w:r>
      <w:bookmarkStart w:id="0" w:name="_GoBack"/>
      <w:bookmarkEnd w:id="0"/>
      <w:r w:rsidRPr="0077342B">
        <w:rPr>
          <w:rFonts w:cs="Calibri"/>
          <w:sz w:val="20"/>
        </w:rPr>
        <w:t xml:space="preserve"> per student participant, per quarter.</w:t>
      </w:r>
    </w:p>
    <w:sectPr w:rsidR="00DF0505" w:rsidRPr="0077342B" w:rsidSect="00937E5B">
      <w:footerReference w:type="default" r:id="rId9"/>
      <w:pgSz w:w="12240" w:h="15840"/>
      <w:pgMar w:top="1008" w:right="1152" w:bottom="1008"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78" w:rsidRDefault="00D75578" w:rsidP="00D75578">
      <w:pPr>
        <w:spacing w:after="0" w:line="240" w:lineRule="auto"/>
      </w:pPr>
      <w:r>
        <w:separator/>
      </w:r>
    </w:p>
  </w:endnote>
  <w:endnote w:type="continuationSeparator" w:id="0">
    <w:p w:rsidR="00D75578" w:rsidRDefault="00D75578" w:rsidP="00D7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09" w:rsidRDefault="00877B09" w:rsidP="00877B09">
    <w:pPr>
      <w:pStyle w:val="Footer"/>
      <w:rPr>
        <w:b/>
        <w:bCs/>
        <w:sz w:val="18"/>
      </w:rPr>
    </w:pPr>
    <w:r>
      <w:rPr>
        <w:color w:val="C00000"/>
        <w:sz w:val="20"/>
      </w:rPr>
      <w:t>Subject to agreement on all terms and legal review, the parties tentative agree:</w:t>
    </w:r>
    <w:r>
      <w:rPr>
        <w:color w:val="C00000"/>
        <w:sz w:val="20"/>
      </w:rPr>
      <w:tab/>
      <w:t xml:space="preserve">   </w:t>
    </w:r>
    <w:r>
      <w:rPr>
        <w:sz w:val="18"/>
      </w:rPr>
      <w:t xml:space="preserve">Page </w:t>
    </w:r>
    <w:r>
      <w:rPr>
        <w:b/>
        <w:bCs/>
        <w:sz w:val="18"/>
      </w:rPr>
      <w:fldChar w:fldCharType="begin"/>
    </w:r>
    <w:r>
      <w:rPr>
        <w:b/>
        <w:bCs/>
        <w:sz w:val="18"/>
      </w:rPr>
      <w:instrText xml:space="preserve"> PAGE </w:instrText>
    </w:r>
    <w:r>
      <w:rPr>
        <w:b/>
        <w:bCs/>
        <w:sz w:val="18"/>
      </w:rPr>
      <w:fldChar w:fldCharType="separate"/>
    </w:r>
    <w:r>
      <w:rPr>
        <w:b/>
        <w:bCs/>
        <w:noProof/>
        <w:sz w:val="18"/>
      </w:rPr>
      <w:t>1</w:t>
    </w:r>
    <w:r>
      <w:rPr>
        <w:b/>
        <w:bCs/>
        <w:sz w:val="18"/>
      </w:rPr>
      <w:fldChar w:fldCharType="end"/>
    </w:r>
    <w:r>
      <w:rPr>
        <w:sz w:val="18"/>
      </w:rPr>
      <w:t xml:space="preserve"> of </w:t>
    </w:r>
    <w:r>
      <w:rPr>
        <w:b/>
        <w:bCs/>
        <w:sz w:val="18"/>
      </w:rPr>
      <w:fldChar w:fldCharType="begin"/>
    </w:r>
    <w:r>
      <w:rPr>
        <w:b/>
        <w:bCs/>
        <w:sz w:val="18"/>
      </w:rPr>
      <w:instrText xml:space="preserve"> NUMPAGES  </w:instrText>
    </w:r>
    <w:r>
      <w:rPr>
        <w:b/>
        <w:bCs/>
        <w:sz w:val="18"/>
      </w:rPr>
      <w:fldChar w:fldCharType="separate"/>
    </w:r>
    <w:r>
      <w:rPr>
        <w:b/>
        <w:bCs/>
        <w:noProof/>
        <w:sz w:val="18"/>
      </w:rPr>
      <w:t>7</w:t>
    </w:r>
    <w:r>
      <w:rPr>
        <w:b/>
        <w:bCs/>
        <w:sz w:val="18"/>
      </w:rPr>
      <w:fldChar w:fldCharType="end"/>
    </w:r>
  </w:p>
  <w:p w:rsidR="00877B09" w:rsidRDefault="00877B09" w:rsidP="00877B09">
    <w:pPr>
      <w:pStyle w:val="Footer"/>
      <w:rPr>
        <w:b/>
        <w:bCs/>
        <w:color w:val="C00000"/>
        <w:sz w:val="20"/>
      </w:rPr>
    </w:pPr>
  </w:p>
  <w:p w:rsidR="00877B09" w:rsidRDefault="00877B09" w:rsidP="00877B09">
    <w:pPr>
      <w:pStyle w:val="Footer"/>
      <w:rPr>
        <w:b/>
        <w:bCs/>
        <w:color w:val="C00000"/>
        <w:sz w:val="20"/>
      </w:rPr>
    </w:pPr>
    <w:r>
      <w:rPr>
        <w:b/>
        <w:bCs/>
        <w:color w:val="C00000"/>
        <w:sz w:val="20"/>
      </w:rPr>
      <w:t>For AHE:  ____________________________________________________________</w:t>
    </w:r>
  </w:p>
  <w:p w:rsidR="00877B09" w:rsidRDefault="00877B09" w:rsidP="00877B09">
    <w:pPr>
      <w:pStyle w:val="Footer"/>
      <w:rPr>
        <w:b/>
        <w:bCs/>
        <w:color w:val="C00000"/>
        <w:sz w:val="20"/>
      </w:rPr>
    </w:pPr>
  </w:p>
  <w:p w:rsidR="00877B09" w:rsidRDefault="00877B09">
    <w:pPr>
      <w:pStyle w:val="Footer"/>
    </w:pPr>
    <w:r>
      <w:rPr>
        <w:b/>
        <w:bCs/>
        <w:color w:val="C00000"/>
        <w:sz w:val="20"/>
      </w:rPr>
      <w:t>For CCS:   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78" w:rsidRDefault="00D75578" w:rsidP="00D75578">
      <w:pPr>
        <w:spacing w:after="0" w:line="240" w:lineRule="auto"/>
      </w:pPr>
      <w:r>
        <w:separator/>
      </w:r>
    </w:p>
  </w:footnote>
  <w:footnote w:type="continuationSeparator" w:id="0">
    <w:p w:rsidR="00D75578" w:rsidRDefault="00D75578" w:rsidP="00D75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500"/>
    <w:multiLevelType w:val="hybridMultilevel"/>
    <w:tmpl w:val="469C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8236F"/>
    <w:multiLevelType w:val="hybridMultilevel"/>
    <w:tmpl w:val="3C82B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F2049D"/>
    <w:multiLevelType w:val="hybridMultilevel"/>
    <w:tmpl w:val="E08262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9774E7"/>
    <w:multiLevelType w:val="hybridMultilevel"/>
    <w:tmpl w:val="ED28C992"/>
    <w:lvl w:ilvl="0" w:tplc="2F2ACA72">
      <w:start w:val="1"/>
      <w:numFmt w:val="lowerLetter"/>
      <w:lvlText w:val="%1."/>
      <w:lvlJc w:val="left"/>
      <w:pPr>
        <w:ind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520133CD"/>
    <w:multiLevelType w:val="hybridMultilevel"/>
    <w:tmpl w:val="87A42F14"/>
    <w:lvl w:ilvl="0" w:tplc="ACEC58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A"/>
    <w:rsid w:val="00033172"/>
    <w:rsid w:val="000334E0"/>
    <w:rsid w:val="000516A5"/>
    <w:rsid w:val="000A7E26"/>
    <w:rsid w:val="00100D91"/>
    <w:rsid w:val="00130B28"/>
    <w:rsid w:val="00195CF4"/>
    <w:rsid w:val="001D0BE5"/>
    <w:rsid w:val="001F7956"/>
    <w:rsid w:val="00224CA8"/>
    <w:rsid w:val="00235317"/>
    <w:rsid w:val="00286401"/>
    <w:rsid w:val="002958AF"/>
    <w:rsid w:val="002B49AA"/>
    <w:rsid w:val="002C6317"/>
    <w:rsid w:val="002F61FB"/>
    <w:rsid w:val="002F6916"/>
    <w:rsid w:val="00402061"/>
    <w:rsid w:val="004048A8"/>
    <w:rsid w:val="0041083C"/>
    <w:rsid w:val="0042286A"/>
    <w:rsid w:val="00481053"/>
    <w:rsid w:val="00494489"/>
    <w:rsid w:val="004A5A5E"/>
    <w:rsid w:val="004E5BE8"/>
    <w:rsid w:val="005273CA"/>
    <w:rsid w:val="005F37F4"/>
    <w:rsid w:val="00687169"/>
    <w:rsid w:val="0077342B"/>
    <w:rsid w:val="007C382F"/>
    <w:rsid w:val="007C72CD"/>
    <w:rsid w:val="007E6416"/>
    <w:rsid w:val="007F7E87"/>
    <w:rsid w:val="00805506"/>
    <w:rsid w:val="00861F3A"/>
    <w:rsid w:val="00877B09"/>
    <w:rsid w:val="00880893"/>
    <w:rsid w:val="00883075"/>
    <w:rsid w:val="008C1A34"/>
    <w:rsid w:val="008E70D8"/>
    <w:rsid w:val="0091315B"/>
    <w:rsid w:val="00927CE3"/>
    <w:rsid w:val="00937E5B"/>
    <w:rsid w:val="009420C9"/>
    <w:rsid w:val="00944054"/>
    <w:rsid w:val="009B7AC7"/>
    <w:rsid w:val="009F0356"/>
    <w:rsid w:val="00A34E87"/>
    <w:rsid w:val="00A36B4F"/>
    <w:rsid w:val="00AC0EE0"/>
    <w:rsid w:val="00B43A08"/>
    <w:rsid w:val="00B45EF9"/>
    <w:rsid w:val="00B479F7"/>
    <w:rsid w:val="00B5442C"/>
    <w:rsid w:val="00BB328A"/>
    <w:rsid w:val="00BE7326"/>
    <w:rsid w:val="00BF53F5"/>
    <w:rsid w:val="00C01F84"/>
    <w:rsid w:val="00C070BB"/>
    <w:rsid w:val="00C12A81"/>
    <w:rsid w:val="00C546B4"/>
    <w:rsid w:val="00C6057D"/>
    <w:rsid w:val="00C80434"/>
    <w:rsid w:val="00C94BBD"/>
    <w:rsid w:val="00CE180E"/>
    <w:rsid w:val="00CE5659"/>
    <w:rsid w:val="00D46E8A"/>
    <w:rsid w:val="00D75578"/>
    <w:rsid w:val="00DF0505"/>
    <w:rsid w:val="00F065C2"/>
    <w:rsid w:val="00F24459"/>
    <w:rsid w:val="00F5643E"/>
    <w:rsid w:val="00F87735"/>
    <w:rsid w:val="00FA4545"/>
    <w:rsid w:val="00FB6F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37E5B"/>
    <w:pPr>
      <w:ind w:left="720"/>
      <w:contextualSpacing/>
    </w:pPr>
  </w:style>
  <w:style w:type="character" w:styleId="LineNumber">
    <w:name w:val="line number"/>
    <w:basedOn w:val="DefaultParagraphFont"/>
    <w:uiPriority w:val="99"/>
    <w:semiHidden/>
    <w:rsid w:val="00937E5B"/>
    <w:rPr>
      <w:rFonts w:cs="Times New Roman"/>
    </w:rPr>
  </w:style>
  <w:style w:type="paragraph" w:styleId="FootnoteText">
    <w:name w:val="footnote text"/>
    <w:basedOn w:val="Normal"/>
    <w:link w:val="FootnoteTextChar"/>
    <w:uiPriority w:val="99"/>
    <w:semiHidden/>
    <w:unhideWhenUsed/>
    <w:rsid w:val="00D75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578"/>
  </w:style>
  <w:style w:type="character" w:styleId="FootnoteReference">
    <w:name w:val="footnote reference"/>
    <w:basedOn w:val="DefaultParagraphFont"/>
    <w:uiPriority w:val="99"/>
    <w:semiHidden/>
    <w:unhideWhenUsed/>
    <w:rsid w:val="00D75578"/>
    <w:rPr>
      <w:vertAlign w:val="superscript"/>
    </w:rPr>
  </w:style>
  <w:style w:type="paragraph" w:styleId="Header">
    <w:name w:val="header"/>
    <w:basedOn w:val="Normal"/>
    <w:link w:val="HeaderChar"/>
    <w:uiPriority w:val="99"/>
    <w:unhideWhenUsed/>
    <w:rsid w:val="0087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09"/>
    <w:rPr>
      <w:sz w:val="22"/>
      <w:szCs w:val="22"/>
    </w:rPr>
  </w:style>
  <w:style w:type="paragraph" w:styleId="Footer">
    <w:name w:val="footer"/>
    <w:basedOn w:val="Normal"/>
    <w:link w:val="FooterChar"/>
    <w:unhideWhenUsed/>
    <w:rsid w:val="00877B09"/>
    <w:pPr>
      <w:tabs>
        <w:tab w:val="center" w:pos="4680"/>
        <w:tab w:val="right" w:pos="9360"/>
      </w:tabs>
      <w:spacing w:after="0" w:line="240" w:lineRule="auto"/>
    </w:pPr>
  </w:style>
  <w:style w:type="character" w:customStyle="1" w:styleId="FooterChar">
    <w:name w:val="Footer Char"/>
    <w:basedOn w:val="DefaultParagraphFont"/>
    <w:link w:val="Footer"/>
    <w:rsid w:val="00877B0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37E5B"/>
    <w:pPr>
      <w:ind w:left="720"/>
      <w:contextualSpacing/>
    </w:pPr>
  </w:style>
  <w:style w:type="character" w:styleId="LineNumber">
    <w:name w:val="line number"/>
    <w:basedOn w:val="DefaultParagraphFont"/>
    <w:uiPriority w:val="99"/>
    <w:semiHidden/>
    <w:rsid w:val="00937E5B"/>
    <w:rPr>
      <w:rFonts w:cs="Times New Roman"/>
    </w:rPr>
  </w:style>
  <w:style w:type="paragraph" w:styleId="FootnoteText">
    <w:name w:val="footnote text"/>
    <w:basedOn w:val="Normal"/>
    <w:link w:val="FootnoteTextChar"/>
    <w:uiPriority w:val="99"/>
    <w:semiHidden/>
    <w:unhideWhenUsed/>
    <w:rsid w:val="00D75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578"/>
  </w:style>
  <w:style w:type="character" w:styleId="FootnoteReference">
    <w:name w:val="footnote reference"/>
    <w:basedOn w:val="DefaultParagraphFont"/>
    <w:uiPriority w:val="99"/>
    <w:semiHidden/>
    <w:unhideWhenUsed/>
    <w:rsid w:val="00D75578"/>
    <w:rPr>
      <w:vertAlign w:val="superscript"/>
    </w:rPr>
  </w:style>
  <w:style w:type="paragraph" w:styleId="Header">
    <w:name w:val="header"/>
    <w:basedOn w:val="Normal"/>
    <w:link w:val="HeaderChar"/>
    <w:uiPriority w:val="99"/>
    <w:unhideWhenUsed/>
    <w:rsid w:val="0087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09"/>
    <w:rPr>
      <w:sz w:val="22"/>
      <w:szCs w:val="22"/>
    </w:rPr>
  </w:style>
  <w:style w:type="paragraph" w:styleId="Footer">
    <w:name w:val="footer"/>
    <w:basedOn w:val="Normal"/>
    <w:link w:val="FooterChar"/>
    <w:unhideWhenUsed/>
    <w:rsid w:val="00877B09"/>
    <w:pPr>
      <w:tabs>
        <w:tab w:val="center" w:pos="4680"/>
        <w:tab w:val="right" w:pos="9360"/>
      </w:tabs>
      <w:spacing w:after="0" w:line="240" w:lineRule="auto"/>
    </w:pPr>
  </w:style>
  <w:style w:type="character" w:customStyle="1" w:styleId="FooterChar">
    <w:name w:val="Footer Char"/>
    <w:basedOn w:val="DefaultParagraphFont"/>
    <w:link w:val="Footer"/>
    <w:rsid w:val="00877B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7462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7307-D404-492D-8F4F-D40A43CC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ARTICLE 19 — SALARY SCHEDULES</vt:lpstr>
    </vt:vector>
  </TitlesOfParts>
  <Company>Microsoft</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19 — SALARY SCHEDULES</dc:title>
  <dc:creator>Stevens, Greg</dc:creator>
  <cp:lastModifiedBy>Stevens, Greg</cp:lastModifiedBy>
  <cp:revision>2</cp:revision>
  <dcterms:created xsi:type="dcterms:W3CDTF">2015-02-18T17:01:00Z</dcterms:created>
  <dcterms:modified xsi:type="dcterms:W3CDTF">2015-02-18T17:01:00Z</dcterms:modified>
</cp:coreProperties>
</file>